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2"/>
        <w:tblW w:w="5000" w:type="pct"/>
        <w:tblInd w:w="0" w:type="dxa"/>
        <w:tblLayout w:type="autofit"/>
        <w:tblCellMar>
          <w:top w:w="0" w:type="dxa"/>
          <w:left w:w="108" w:type="dxa"/>
          <w:bottom w:w="0" w:type="dxa"/>
          <w:right w:w="108" w:type="dxa"/>
        </w:tblCellMar>
      </w:tblPr>
      <w:tblGrid>
        <w:gridCol w:w="7162"/>
        <w:gridCol w:w="2580"/>
      </w:tblGrid>
      <w:tr w14:paraId="586F454C">
        <w:tblPrEx>
          <w:tblCellMar>
            <w:top w:w="0" w:type="dxa"/>
            <w:left w:w="108" w:type="dxa"/>
            <w:bottom w:w="0" w:type="dxa"/>
            <w:right w:w="108" w:type="dxa"/>
          </w:tblCellMar>
        </w:tblPrEx>
        <w:trPr>
          <w:trHeight w:val="850" w:hRule="atLeast"/>
        </w:trPr>
        <w:tc>
          <w:tcPr>
            <w:tcW w:w="3676" w:type="pct"/>
          </w:tcPr>
          <w:p w14:paraId="6946BF31">
            <w:pPr>
              <w:pStyle w:val="80"/>
              <w:rPr>
                <w:lang w:val="en-US"/>
              </w:rPr>
            </w:pPr>
          </w:p>
        </w:tc>
        <w:tc>
          <w:tcPr>
            <w:tcW w:w="1323" w:type="pct"/>
          </w:tcPr>
          <w:p w14:paraId="5A21A978"/>
        </w:tc>
      </w:tr>
      <w:tr w14:paraId="31B6852C">
        <w:tblPrEx>
          <w:tblCellMar>
            <w:top w:w="0" w:type="dxa"/>
            <w:left w:w="108" w:type="dxa"/>
            <w:bottom w:w="0" w:type="dxa"/>
            <w:right w:w="108" w:type="dxa"/>
          </w:tblCellMar>
        </w:tblPrEx>
        <w:trPr>
          <w:trHeight w:val="397" w:hRule="atLeast"/>
        </w:trPr>
        <w:tc>
          <w:tcPr>
            <w:tcW w:w="3676" w:type="pct"/>
          </w:tcPr>
          <w:p w14:paraId="3FC2533F">
            <w:pPr>
              <w:pStyle w:val="80"/>
            </w:pPr>
            <w:r>
              <w:t>Утвержден</w:t>
            </w:r>
          </w:p>
        </w:tc>
        <w:tc>
          <w:tcPr>
            <w:tcW w:w="1323" w:type="pct"/>
          </w:tcPr>
          <w:p w14:paraId="1D005B2D"/>
        </w:tc>
      </w:tr>
      <w:tr w14:paraId="10A2A9CF">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1847AC1E">
            <w:pPr>
              <w:pStyle w:val="85"/>
            </w:pPr>
          </w:p>
        </w:tc>
      </w:tr>
      <w:tr w14:paraId="01766596">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08640DE9">
            <w:pPr>
              <w:pStyle w:val="85"/>
            </w:pPr>
          </w:p>
        </w:tc>
      </w:tr>
      <w:tr w14:paraId="2AEBA982">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081F1169">
            <w:pPr>
              <w:pStyle w:val="85"/>
            </w:pPr>
          </w:p>
        </w:tc>
      </w:tr>
      <w:tr w14:paraId="4C5FB64F">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6B5C3B66">
            <w:pPr>
              <w:pStyle w:val="85"/>
            </w:pPr>
          </w:p>
        </w:tc>
      </w:tr>
      <w:tr w14:paraId="0E9C7E8F">
        <w:tblPrEx>
          <w:tblCellMar>
            <w:top w:w="0" w:type="dxa"/>
            <w:left w:w="108" w:type="dxa"/>
            <w:bottom w:w="0" w:type="dxa"/>
            <w:right w:w="108" w:type="dxa"/>
          </w:tblCellMar>
        </w:tblPrEx>
        <w:trPr>
          <w:trHeight w:val="1693" w:hRule="atLeast"/>
        </w:trPr>
        <w:tc>
          <w:tcPr>
            <w:tcW w:w="5000" w:type="pct"/>
            <w:gridSpan w:val="2"/>
            <w:tcMar>
              <w:left w:w="57" w:type="dxa"/>
            </w:tcMar>
            <w:vAlign w:val="center"/>
          </w:tcPr>
          <w:p w14:paraId="7B01C982">
            <w:pPr>
              <w:pStyle w:val="86"/>
            </w:pPr>
            <w:r>
              <w:t>Государственная информационная система</w:t>
            </w:r>
            <w:r>
              <w:br w:type="textWrapping"/>
            </w:r>
            <w:r>
              <w:t>обязательного медицинского страхования</w:t>
            </w:r>
            <w:r>
              <w:br w:type="textWrapping"/>
            </w:r>
            <w:r>
              <w:t>ГИС ОМС</w:t>
            </w:r>
          </w:p>
        </w:tc>
      </w:tr>
      <w:tr w14:paraId="06211593">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25FD6BE6">
            <w:pPr>
              <w:pStyle w:val="86"/>
            </w:pPr>
            <w:r>
              <w:t>Федеральная подсистема персонифицированного учета медицинской помощи ГИС ОМС</w:t>
            </w:r>
          </w:p>
        </w:tc>
      </w:tr>
      <w:tr w14:paraId="3D524633">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60E7F296">
            <w:pPr>
              <w:pStyle w:val="85"/>
            </w:pPr>
          </w:p>
        </w:tc>
      </w:tr>
      <w:tr w14:paraId="0CBE01B8">
        <w:tblPrEx>
          <w:tblCellMar>
            <w:top w:w="0" w:type="dxa"/>
            <w:left w:w="108" w:type="dxa"/>
            <w:bottom w:w="0" w:type="dxa"/>
            <w:right w:w="108" w:type="dxa"/>
          </w:tblCellMar>
        </w:tblPrEx>
        <w:trPr>
          <w:trHeight w:val="454" w:hRule="atLeast"/>
        </w:trPr>
        <w:tc>
          <w:tcPr>
            <w:tcW w:w="5000" w:type="pct"/>
            <w:gridSpan w:val="2"/>
            <w:vAlign w:val="center"/>
          </w:tcPr>
          <w:p w14:paraId="24AFF105">
            <w:pPr>
              <w:pStyle w:val="85"/>
              <w:rPr>
                <w:rFonts w:asciiTheme="minorHAnsi" w:hAnsiTheme="minorHAnsi"/>
              </w:rPr>
            </w:pPr>
            <w:r>
              <w:t>Руководство пользователя</w:t>
            </w:r>
          </w:p>
        </w:tc>
      </w:tr>
      <w:tr w14:paraId="2E60B504">
        <w:tblPrEx>
          <w:tblCellMar>
            <w:top w:w="0" w:type="dxa"/>
            <w:left w:w="108" w:type="dxa"/>
            <w:bottom w:w="0" w:type="dxa"/>
            <w:right w:w="108" w:type="dxa"/>
          </w:tblCellMar>
        </w:tblPrEx>
        <w:trPr>
          <w:trHeight w:val="454" w:hRule="atLeast"/>
        </w:trPr>
        <w:tc>
          <w:tcPr>
            <w:tcW w:w="5000" w:type="pct"/>
            <w:gridSpan w:val="2"/>
            <w:vAlign w:val="center"/>
          </w:tcPr>
          <w:p w14:paraId="0698C8EC">
            <w:pPr>
              <w:pStyle w:val="85"/>
            </w:pPr>
            <w:r>
              <w:t>часть 3</w:t>
            </w:r>
          </w:p>
        </w:tc>
      </w:tr>
      <w:tr w14:paraId="4665AC65">
        <w:tblPrEx>
          <w:tblCellMar>
            <w:top w:w="0" w:type="dxa"/>
            <w:left w:w="108" w:type="dxa"/>
            <w:bottom w:w="0" w:type="dxa"/>
            <w:right w:w="108" w:type="dxa"/>
          </w:tblCellMar>
        </w:tblPrEx>
        <w:trPr>
          <w:trHeight w:val="454" w:hRule="atLeast"/>
        </w:trPr>
        <w:tc>
          <w:tcPr>
            <w:tcW w:w="5000" w:type="pct"/>
            <w:gridSpan w:val="2"/>
            <w:vAlign w:val="center"/>
          </w:tcPr>
          <w:p w14:paraId="4F0D2588">
            <w:pPr>
              <w:pStyle w:val="85"/>
            </w:pPr>
            <w:r>
              <w:t>АРМ сотрудника ТФОМС</w:t>
            </w:r>
          </w:p>
        </w:tc>
      </w:tr>
      <w:tr w14:paraId="4D46AE10">
        <w:tblPrEx>
          <w:tblCellMar>
            <w:top w:w="0" w:type="dxa"/>
            <w:left w:w="108" w:type="dxa"/>
            <w:bottom w:w="0" w:type="dxa"/>
            <w:right w:w="108" w:type="dxa"/>
          </w:tblCellMar>
        </w:tblPrEx>
        <w:trPr>
          <w:trHeight w:val="454" w:hRule="atLeast"/>
        </w:trPr>
        <w:sdt>
          <w:sdtPr>
            <w:alias w:val="Название"/>
            <w:id w:val="1526676118"/>
            <w:placeholder>
              <w:docPart w:val="DCEC9EFCDD7D4EAABCAD6C2D273267C9"/>
            </w:placeholder>
            <w:dataBinding w:prefixMappings="xmlns:ns0='http://purl.org/dc/elements/1.1/' xmlns:ns1='http://schemas.openxmlformats.org/package/2006/metadata/core-properties' " w:xpath="/ns1:coreProperties[1]/ns0:title[1]" w:storeItemID="{6C3C8BC8-F283-45AE-878A-BAB7291924A1}"/>
            <w:text/>
          </w:sdtPr>
          <w:sdtContent>
            <w:tc>
              <w:tcPr>
                <w:tcW w:w="5000" w:type="pct"/>
                <w:gridSpan w:val="2"/>
                <w:vAlign w:val="center"/>
              </w:tcPr>
              <w:p w14:paraId="09F313AE">
                <w:pPr>
                  <w:pStyle w:val="85"/>
                </w:pPr>
                <w:r>
                  <w:t>1027700198767.425000.ФПУМП.2026.И3-3-М</w:t>
                </w:r>
              </w:p>
            </w:tc>
          </w:sdtContent>
        </w:sdt>
      </w:tr>
      <w:tr w14:paraId="4661211F">
        <w:tblPrEx>
          <w:tblCellMar>
            <w:top w:w="0" w:type="dxa"/>
            <w:left w:w="108" w:type="dxa"/>
            <w:bottom w:w="0" w:type="dxa"/>
            <w:right w:w="108" w:type="dxa"/>
          </w:tblCellMar>
        </w:tblPrEx>
        <w:trPr>
          <w:trHeight w:val="454" w:hRule="atLeast"/>
        </w:trPr>
        <w:tc>
          <w:tcPr>
            <w:tcW w:w="5000" w:type="pct"/>
            <w:gridSpan w:val="2"/>
            <w:vAlign w:val="center"/>
          </w:tcPr>
          <w:p w14:paraId="45937E4D">
            <w:pPr>
              <w:pStyle w:val="85"/>
            </w:pPr>
            <w:bookmarkStart w:id="0" w:name="_Hlk148527763"/>
          </w:p>
        </w:tc>
      </w:tr>
      <w:bookmarkEnd w:id="0"/>
      <w:tr w14:paraId="4D0E196B">
        <w:tblPrEx>
          <w:tblCellMar>
            <w:top w:w="0" w:type="dxa"/>
            <w:left w:w="108" w:type="dxa"/>
            <w:bottom w:w="0" w:type="dxa"/>
            <w:right w:w="108" w:type="dxa"/>
          </w:tblCellMar>
        </w:tblPrEx>
        <w:trPr>
          <w:trHeight w:val="454" w:hRule="atLeast"/>
        </w:trPr>
        <w:tc>
          <w:tcPr>
            <w:tcW w:w="5000" w:type="pct"/>
            <w:gridSpan w:val="2"/>
            <w:vAlign w:val="center"/>
          </w:tcPr>
          <w:p w14:paraId="4E988AB5">
            <w:pPr>
              <w:pStyle w:val="85"/>
            </w:pPr>
            <w:r>
              <w:t xml:space="preserve">Листов: </w:t>
            </w:r>
            <w:r>
              <w:fldChar w:fldCharType="begin"/>
            </w:r>
            <w:r>
              <w:instrText xml:space="preserve"> NUMPAGES   \* MERGEFORMAT </w:instrText>
            </w:r>
            <w:r>
              <w:fldChar w:fldCharType="separate"/>
            </w:r>
            <w:r>
              <w:t>180</w:t>
            </w:r>
            <w:r>
              <w:fldChar w:fldCharType="end"/>
            </w:r>
          </w:p>
        </w:tc>
      </w:tr>
      <w:tr w14:paraId="7FD6C08C">
        <w:tblPrEx>
          <w:tblCellMar>
            <w:top w:w="0" w:type="dxa"/>
            <w:left w:w="108" w:type="dxa"/>
            <w:bottom w:w="0" w:type="dxa"/>
            <w:right w:w="108" w:type="dxa"/>
          </w:tblCellMar>
        </w:tblPrEx>
        <w:trPr>
          <w:trHeight w:val="454" w:hRule="atLeast"/>
        </w:trPr>
        <w:sdt>
          <w:sdtPr>
            <w:alias w:val="Аннотация"/>
            <w:id w:val="-1203712849"/>
            <w:placeholder>
              <w:docPart w:val="FC3E3AE08C7E4E7C98093E32BAAAE90F"/>
            </w:placeholder>
            <w:dataBinding w:prefixMappings="xmlns:ns0='http://schemas.microsoft.com/office/2006/coverPageProps' " w:xpath="/ns0:CoverPageProperties[1]/ns0:Abstract[1]" w:storeItemID="{55AF091B-3C7A-41E3-B477-F2FDAA23CFDA}"/>
            <w:text/>
          </w:sdtPr>
          <w:sdtContent>
            <w:tc>
              <w:tcPr>
                <w:tcW w:w="5000" w:type="pct"/>
                <w:gridSpan w:val="2"/>
                <w:vAlign w:val="center"/>
              </w:tcPr>
              <w:p w14:paraId="18B8AD22">
                <w:pPr>
                  <w:pStyle w:val="85"/>
                  <w:rPr>
                    <w:highlight w:val="yellow"/>
                  </w:rPr>
                </w:pPr>
                <w:r>
                  <w:t>версия 4.01</w:t>
                </w:r>
              </w:p>
            </w:tc>
          </w:sdtContent>
        </w:sdt>
      </w:tr>
      <w:tr w14:paraId="2FA786E1">
        <w:tblPrEx>
          <w:tblCellMar>
            <w:top w:w="0" w:type="dxa"/>
            <w:left w:w="108" w:type="dxa"/>
            <w:bottom w:w="0" w:type="dxa"/>
            <w:right w:w="108" w:type="dxa"/>
          </w:tblCellMar>
        </w:tblPrEx>
        <w:trPr>
          <w:trHeight w:val="454" w:hRule="atLeast"/>
        </w:trPr>
        <w:tc>
          <w:tcPr>
            <w:tcW w:w="5000" w:type="pct"/>
            <w:gridSpan w:val="2"/>
            <w:vAlign w:val="center"/>
          </w:tcPr>
          <w:p w14:paraId="2AA87C9B">
            <w:pPr>
              <w:pStyle w:val="85"/>
              <w:rPr>
                <w:lang w:val="en-US"/>
              </w:rPr>
            </w:pPr>
            <w:r>
              <w:t>Государственный контракт</w:t>
            </w:r>
          </w:p>
          <w:p w14:paraId="6D820284">
            <w:pPr>
              <w:pStyle w:val="85"/>
            </w:pPr>
            <w:r>
              <w:t>от 26.01.2026 № 02731000011250001290001</w:t>
            </w:r>
          </w:p>
        </w:tc>
      </w:tr>
      <w:tr w14:paraId="0D413A6B">
        <w:tblPrEx>
          <w:tblCellMar>
            <w:top w:w="0" w:type="dxa"/>
            <w:left w:w="108" w:type="dxa"/>
            <w:bottom w:w="0" w:type="dxa"/>
            <w:right w:w="108" w:type="dxa"/>
          </w:tblCellMar>
        </w:tblPrEx>
        <w:trPr>
          <w:trHeight w:val="454" w:hRule="atLeast"/>
        </w:trPr>
        <w:tc>
          <w:tcPr>
            <w:tcW w:w="5000" w:type="pct"/>
            <w:gridSpan w:val="2"/>
            <w:vAlign w:val="center"/>
          </w:tcPr>
          <w:p w14:paraId="22937020">
            <w:pPr>
              <w:pStyle w:val="85"/>
            </w:pPr>
            <w:r>
              <w:t>(этап 5)</w:t>
            </w:r>
          </w:p>
        </w:tc>
      </w:tr>
    </w:tbl>
    <w:p w14:paraId="50B57063">
      <w:pPr>
        <w:pStyle w:val="85"/>
      </w:pPr>
    </w:p>
    <w:p w14:paraId="45E2486F">
      <w:pPr>
        <w:pStyle w:val="85"/>
      </w:pPr>
    </w:p>
    <w:p w14:paraId="7ABBD429">
      <w:pPr>
        <w:pStyle w:val="85"/>
      </w:pPr>
    </w:p>
    <w:p w14:paraId="30FF3F61">
      <w:pPr>
        <w:pStyle w:val="85"/>
      </w:pPr>
    </w:p>
    <w:p w14:paraId="35B68B2A">
      <w:pPr>
        <w:pStyle w:val="85"/>
      </w:pPr>
    </w:p>
    <w:p w14:paraId="180731BC">
      <w:pPr>
        <w:pStyle w:val="85"/>
        <w:rPr>
          <w:lang w:val="en-US"/>
        </w:rPr>
        <w:sectPr>
          <w:headerReference r:id="rId6" w:type="first"/>
          <w:headerReference r:id="rId5" w:type="default"/>
          <w:footerReference r:id="rId7" w:type="default"/>
          <w:footnotePr>
            <w:numRestart w:val="eachPage"/>
          </w:footnotePr>
          <w:pgSz w:w="11906" w:h="16838"/>
          <w:pgMar w:top="993" w:right="849" w:bottom="851" w:left="1531" w:header="624" w:footer="567" w:gutter="0"/>
          <w:cols w:space="708" w:num="1"/>
          <w:titlePg/>
          <w:docGrid w:linePitch="360" w:charSpace="0"/>
        </w:sectPr>
      </w:pPr>
      <w:r>
        <w:t>202</w:t>
      </w:r>
      <w:r>
        <w:rPr>
          <w:lang w:val="en-US"/>
        </w:rPr>
        <w:t>6</w:t>
      </w:r>
    </w:p>
    <w:p w14:paraId="1FC6B966">
      <w:pPr>
        <w:pStyle w:val="69"/>
      </w:pPr>
      <w:r>
        <w:t>Настоящий документ представляет собой руководство пользователя Федеральной подсистемой персонифицированного учета медицинской помощи ГИС ОМС (далее — ФПУМП, Подсистема) для сотрудников территориальных фондов обязательного медицинского страхования Российской Федерации.</w:t>
      </w:r>
    </w:p>
    <w:p w14:paraId="7C423F1C">
      <w:pPr>
        <w:pStyle w:val="69"/>
      </w:pPr>
      <w:r>
        <w:t>В руководстве приведено описание назначения, условий применения и основных функциональных возможностей ФПУМП, основных элементов интерфейса ФПУМП и операций, выполняемых с использованием графического интерфейса пользователя, для следующих ролей:</w:t>
      </w:r>
    </w:p>
    <w:p w14:paraId="1653E68E">
      <w:pPr>
        <w:pStyle w:val="76"/>
      </w:pPr>
      <w:r>
        <w:t>Плательщик ТФОМС;</w:t>
      </w:r>
    </w:p>
    <w:p w14:paraId="2BC08E4F">
      <w:pPr>
        <w:pStyle w:val="76"/>
      </w:pPr>
      <w:r>
        <w:t>Администратор счетов субъекта;</w:t>
      </w:r>
    </w:p>
    <w:p w14:paraId="1520336F">
      <w:pPr>
        <w:pStyle w:val="76"/>
      </w:pPr>
      <w:r>
        <w:t>Куратор по СМО для ТФОМС;</w:t>
      </w:r>
    </w:p>
    <w:p w14:paraId="081B4A25">
      <w:pPr>
        <w:pStyle w:val="76"/>
      </w:pPr>
      <w:r>
        <w:t>Куратор по МО для ТФОМС.</w:t>
      </w:r>
    </w:p>
    <w:p w14:paraId="3FA40000">
      <w:pPr>
        <w:pStyle w:val="69"/>
      </w:pPr>
      <w:r>
        <w:t>Действия пользователей, необходимые для выполнения основных задач и функциональных обязанностей в рамках персонифицированного учета медицинской помощи, регламентируются нормативно-правовыми актами в сфере обязательного медицинского страхования РФ и внутренними распорядительными документами организации.</w:t>
      </w:r>
      <w:bookmarkStart w:id="3129" w:name="_GoBack"/>
      <w:bookmarkEnd w:id="3129"/>
    </w:p>
    <w:p w14:paraId="1A9C8C13">
      <w:pPr>
        <w:pStyle w:val="66"/>
      </w:pPr>
      <w:r>
        <w:t>Содержание</w:t>
      </w:r>
    </w:p>
    <w:p w14:paraId="565FAF55">
      <w:pPr>
        <w:pStyle w:val="25"/>
        <w:rPr>
          <w:rFonts w:asciiTheme="minorHAnsi" w:hAnsiTheme="minorHAnsi" w:eastAsiaTheme="minorEastAsia" w:cstheme="minorBidi"/>
          <w:bCs w:val="0"/>
          <w:iCs w:val="0"/>
          <w:kern w:val="2"/>
          <w:lang w:val="ru-RU"/>
          <w14:ligatures w14:val="standardContextual"/>
        </w:rPr>
      </w:pPr>
      <w:r>
        <w:rPr>
          <w:bCs w:val="0"/>
          <w:iCs w:val="0"/>
        </w:rPr>
        <w:fldChar w:fldCharType="begin"/>
      </w:r>
      <w:r>
        <w:rPr>
          <w:bCs w:val="0"/>
          <w:iCs w:val="0"/>
        </w:rPr>
        <w:instrText xml:space="preserve"> TOC \o "1-3" \h \z \u </w:instrText>
      </w:r>
      <w:r>
        <w:rPr>
          <w:bCs w:val="0"/>
          <w:iCs w:val="0"/>
        </w:rPr>
        <w:fldChar w:fldCharType="separate"/>
      </w:r>
      <w:r>
        <w:fldChar w:fldCharType="begin"/>
      </w:r>
      <w:r>
        <w:instrText xml:space="preserve"> HYPERLINK \l "_Toc225866295" </w:instrText>
      </w:r>
      <w:r>
        <w:fldChar w:fldCharType="separate"/>
      </w:r>
      <w:r>
        <w:rPr>
          <w:rStyle w:val="15"/>
        </w:rPr>
        <w:t>Термины и сокращения</w:t>
      </w:r>
      <w:r>
        <w:tab/>
      </w:r>
      <w:r>
        <w:fldChar w:fldCharType="begin"/>
      </w:r>
      <w:r>
        <w:instrText xml:space="preserve"> PAGEREF _Toc225866295 \h </w:instrText>
      </w:r>
      <w:r>
        <w:fldChar w:fldCharType="separate"/>
      </w:r>
      <w:r>
        <w:t>6</w:t>
      </w:r>
      <w:r>
        <w:fldChar w:fldCharType="end"/>
      </w:r>
      <w:r>
        <w:fldChar w:fldCharType="end"/>
      </w:r>
    </w:p>
    <w:p w14:paraId="2FD6267F">
      <w:pPr>
        <w:pStyle w:val="25"/>
        <w:rPr>
          <w:rFonts w:asciiTheme="minorHAnsi" w:hAnsiTheme="minorHAnsi" w:eastAsiaTheme="minorEastAsia" w:cstheme="minorBidi"/>
          <w:bCs w:val="0"/>
          <w:iCs w:val="0"/>
          <w:kern w:val="2"/>
          <w:lang w:val="ru-RU"/>
          <w14:ligatures w14:val="standardContextual"/>
        </w:rPr>
      </w:pPr>
      <w:r>
        <w:fldChar w:fldCharType="begin"/>
      </w:r>
      <w:r>
        <w:instrText xml:space="preserve"> HYPERLINK \l "_Toc225866296" </w:instrText>
      </w:r>
      <w:r>
        <w:fldChar w:fldCharType="separate"/>
      </w:r>
      <w:r>
        <w:rPr>
          <w:rStyle w:val="15"/>
        </w:rPr>
        <w:t>1 Введение</w:t>
      </w:r>
      <w:r>
        <w:tab/>
      </w:r>
      <w:r>
        <w:fldChar w:fldCharType="begin"/>
      </w:r>
      <w:r>
        <w:instrText xml:space="preserve"> PAGEREF _Toc225866296 \h </w:instrText>
      </w:r>
      <w:r>
        <w:fldChar w:fldCharType="separate"/>
      </w:r>
      <w:r>
        <w:t>8</w:t>
      </w:r>
      <w:r>
        <w:fldChar w:fldCharType="end"/>
      </w:r>
      <w:r>
        <w:fldChar w:fldCharType="end"/>
      </w:r>
    </w:p>
    <w:p w14:paraId="458FAF14">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"_Toc225866297" </w:instrText>
      </w:r>
      <w:r>
        <w:fldChar w:fldCharType="separate"/>
      </w:r>
      <w:r>
        <w:rPr>
          <w:rStyle w:val="15"/>
        </w:rPr>
        <w:t>1.1 Область применения</w:t>
      </w:r>
      <w:r>
        <w:tab/>
      </w:r>
      <w:r>
        <w:fldChar w:fldCharType="begin"/>
      </w:r>
      <w:r>
        <w:instrText xml:space="preserve"> PAGEREF _Toc225866297 \h </w:instrText>
      </w:r>
      <w:r>
        <w:fldChar w:fldCharType="separate"/>
      </w:r>
      <w:r>
        <w:t>8</w:t>
      </w:r>
      <w:r>
        <w:fldChar w:fldCharType="end"/>
      </w:r>
      <w:r>
        <w:fldChar w:fldCharType="end"/>
      </w:r>
    </w:p>
    <w:p w14:paraId="343C5D0C">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"_Toc225866298" </w:instrText>
      </w:r>
      <w:r>
        <w:fldChar w:fldCharType="separate"/>
      </w:r>
      <w:r>
        <w:rPr>
          <w:rStyle w:val="15"/>
        </w:rPr>
        <w:t>1.2 Краткое описание возможностей</w:t>
      </w:r>
      <w:r>
        <w:tab/>
      </w:r>
      <w:r>
        <w:fldChar w:fldCharType="begin"/>
      </w:r>
      <w:r>
        <w:instrText xml:space="preserve"> PAGEREF _Toc225866298 \h </w:instrText>
      </w:r>
      <w:r>
        <w:fldChar w:fldCharType="separate"/>
      </w:r>
      <w:r>
        <w:t>8</w:t>
      </w:r>
      <w:r>
        <w:fldChar w:fldCharType="end"/>
      </w:r>
      <w:r>
        <w:fldChar w:fldCharType="end"/>
      </w:r>
    </w:p>
    <w:p w14:paraId="0ACA537A">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"_Toc225866299" </w:instrText>
      </w:r>
      <w:r>
        <w:fldChar w:fldCharType="separate"/>
      </w:r>
      <w:r>
        <w:rPr>
          <w:rStyle w:val="15"/>
        </w:rPr>
        <w:t>1.3 Уровень подготовки пользователя</w:t>
      </w:r>
      <w:r>
        <w:tab/>
      </w:r>
      <w:r>
        <w:fldChar w:fldCharType="begin"/>
      </w:r>
      <w:r>
        <w:instrText xml:space="preserve"> PAGEREF _Toc225866299 \h </w:instrText>
      </w:r>
      <w:r>
        <w:fldChar w:fldCharType="separate"/>
      </w:r>
      <w:r>
        <w:t>9</w:t>
      </w:r>
      <w:r>
        <w:fldChar w:fldCharType="end"/>
      </w:r>
      <w:r>
        <w:fldChar w:fldCharType="end"/>
      </w:r>
    </w:p>
    <w:p w14:paraId="0EF1390E">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"_Toc225866300" </w:instrText>
      </w:r>
      <w:r>
        <w:fldChar w:fldCharType="separate"/>
      </w:r>
      <w:r>
        <w:rPr>
          <w:rStyle w:val="15"/>
        </w:rPr>
        <w:t>1.4 Перечень эксплуатационной документации для ознакомления</w:t>
      </w:r>
      <w:r>
        <w:tab/>
      </w:r>
      <w:r>
        <w:fldChar w:fldCharType="begin"/>
      </w:r>
      <w:r>
        <w:instrText xml:space="preserve"> PAGEREF _Toc225866300 \h </w:instrText>
      </w:r>
      <w:r>
        <w:fldChar w:fldCharType="separate"/>
      </w:r>
      <w:r>
        <w:t>9</w:t>
      </w:r>
      <w:r>
        <w:fldChar w:fldCharType="end"/>
      </w:r>
      <w:r>
        <w:fldChar w:fldCharType="end"/>
      </w:r>
    </w:p>
    <w:p w14:paraId="5726775F">
      <w:pPr>
        <w:pStyle w:val="25"/>
        <w:rPr>
          <w:rFonts w:asciiTheme="minorHAnsi" w:hAnsiTheme="minorHAnsi" w:eastAsiaTheme="minorEastAsia" w:cstheme="minorBidi"/>
          <w:bCs w:val="0"/>
          <w:iCs w:val="0"/>
          <w:kern w:val="2"/>
          <w:lang w:val="ru-RU"/>
          <w14:ligatures w14:val="standardContextual"/>
        </w:rPr>
      </w:pPr>
      <w:r>
        <w:fldChar w:fldCharType="begin"/>
      </w:r>
      <w:r>
        <w:instrText xml:space="preserve"> HYPERLINK \l "_Toc225866301" </w:instrText>
      </w:r>
      <w:r>
        <w:fldChar w:fldCharType="separate"/>
      </w:r>
      <w:r>
        <w:rPr>
          <w:rStyle w:val="15"/>
        </w:rPr>
        <w:t>2 Назначение и условия применения</w:t>
      </w:r>
      <w:r>
        <w:tab/>
      </w:r>
      <w:r>
        <w:fldChar w:fldCharType="begin"/>
      </w:r>
      <w:r>
        <w:instrText xml:space="preserve"> PAGEREF _Toc225866301 \h </w:instrText>
      </w:r>
      <w:r>
        <w:fldChar w:fldCharType="separate"/>
      </w:r>
      <w:r>
        <w:t>10</w:t>
      </w:r>
      <w:r>
        <w:fldChar w:fldCharType="end"/>
      </w:r>
      <w:r>
        <w:fldChar w:fldCharType="end"/>
      </w:r>
    </w:p>
    <w:p w14:paraId="79BE5492">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"_Toc225866302" </w:instrText>
      </w:r>
      <w:r>
        <w:fldChar w:fldCharType="separate"/>
      </w:r>
      <w:r>
        <w:rPr>
          <w:rStyle w:val="15"/>
        </w:rPr>
        <w:t>2.1 Виды деятельности, функции, для автоматизации которых предназначена подсистема</w:t>
      </w:r>
      <w:r>
        <w:tab/>
      </w:r>
      <w:r>
        <w:fldChar w:fldCharType="begin"/>
      </w:r>
      <w:r>
        <w:instrText xml:space="preserve"> PAGEREF _Toc225866302 \h </w:instrText>
      </w:r>
      <w:r>
        <w:fldChar w:fldCharType="separate"/>
      </w:r>
      <w:r>
        <w:t>10</w:t>
      </w:r>
      <w:r>
        <w:fldChar w:fldCharType="end"/>
      </w:r>
      <w:r>
        <w:fldChar w:fldCharType="end"/>
      </w:r>
    </w:p>
    <w:p w14:paraId="15BF55CF">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"_Toc225866303" </w:instrText>
      </w:r>
      <w:r>
        <w:fldChar w:fldCharType="separate"/>
      </w:r>
      <w:r>
        <w:rPr>
          <w:rStyle w:val="15"/>
        </w:rPr>
        <w:t>2.2 Требования к соблюдению информационной безопасности при работе с подсистемой</w:t>
      </w:r>
      <w:r>
        <w:tab/>
      </w:r>
      <w:r>
        <w:fldChar w:fldCharType="begin"/>
      </w:r>
      <w:r>
        <w:instrText xml:space="preserve"> PAGEREF _Toc225866303 \h </w:instrText>
      </w:r>
      <w:r>
        <w:fldChar w:fldCharType="separate"/>
      </w:r>
      <w:r>
        <w:t>11</w:t>
      </w:r>
      <w:r>
        <w:fldChar w:fldCharType="end"/>
      </w:r>
      <w:r>
        <w:fldChar w:fldCharType="end"/>
      </w:r>
    </w:p>
    <w:p w14:paraId="684BA7E9">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"_Toc225866304" </w:instrText>
      </w:r>
      <w:r>
        <w:fldChar w:fldCharType="separate"/>
      </w:r>
      <w:r>
        <w:rPr>
          <w:rStyle w:val="15"/>
        </w:rPr>
        <w:t>2.3 Условия применения</w:t>
      </w:r>
      <w:r>
        <w:tab/>
      </w:r>
      <w:r>
        <w:fldChar w:fldCharType="begin"/>
      </w:r>
      <w:r>
        <w:instrText xml:space="preserve"> PAGEREF _Toc225866304 \h </w:instrText>
      </w:r>
      <w:r>
        <w:fldChar w:fldCharType="separate"/>
      </w:r>
      <w:r>
        <w:t>12</w:t>
      </w:r>
      <w:r>
        <w:fldChar w:fldCharType="end"/>
      </w:r>
      <w:r>
        <w:fldChar w:fldCharType="end"/>
      </w:r>
    </w:p>
    <w:p w14:paraId="39757AF3">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"_Toc225866305" </w:instrText>
      </w:r>
      <w:r>
        <w:fldChar w:fldCharType="separate"/>
      </w:r>
      <w:r>
        <w:rPr>
          <w:rStyle w:val="15"/>
        </w:rPr>
        <w:t>2.4 Актуализация сведений НСИ</w:t>
      </w:r>
      <w:r>
        <w:tab/>
      </w:r>
      <w:r>
        <w:fldChar w:fldCharType="begin"/>
      </w:r>
      <w:r>
        <w:instrText xml:space="preserve"> PAGEREF _Toc225866305 \h </w:instrText>
      </w:r>
      <w:r>
        <w:fldChar w:fldCharType="separate"/>
      </w:r>
      <w:r>
        <w:t>13</w:t>
      </w:r>
      <w:r>
        <w:fldChar w:fldCharType="end"/>
      </w:r>
      <w:r>
        <w:fldChar w:fldCharType="end"/>
      </w:r>
    </w:p>
    <w:p w14:paraId="6AFA85EE">
      <w:pPr>
        <w:pStyle w:val="25"/>
        <w:rPr>
          <w:rFonts w:asciiTheme="minorHAnsi" w:hAnsiTheme="minorHAnsi" w:eastAsiaTheme="minorEastAsia" w:cstheme="minorBidi"/>
          <w:bCs w:val="0"/>
          <w:iCs w:val="0"/>
          <w:kern w:val="2"/>
          <w:lang w:val="ru-RU"/>
          <w14:ligatures w14:val="standardContextual"/>
        </w:rPr>
      </w:pPr>
      <w:r>
        <w:fldChar w:fldCharType="begin"/>
      </w:r>
      <w:r>
        <w:instrText xml:space="preserve"> HYPERLINK \l "_Toc225866306" </w:instrText>
      </w:r>
      <w:r>
        <w:fldChar w:fldCharType="separate"/>
      </w:r>
      <w:r>
        <w:rPr>
          <w:rStyle w:val="15"/>
        </w:rPr>
        <w:t>3 Подготовка к работе</w:t>
      </w:r>
      <w:r>
        <w:tab/>
      </w:r>
      <w:r>
        <w:fldChar w:fldCharType="begin"/>
      </w:r>
      <w:r>
        <w:instrText xml:space="preserve"> PAGEREF _Toc225866306 \h </w:instrText>
      </w:r>
      <w:r>
        <w:fldChar w:fldCharType="separate"/>
      </w:r>
      <w:r>
        <w:t>14</w:t>
      </w:r>
      <w:r>
        <w:fldChar w:fldCharType="end"/>
      </w:r>
      <w:r>
        <w:fldChar w:fldCharType="end"/>
      </w:r>
    </w:p>
    <w:p w14:paraId="27F0EA82">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"_Toc225866307" </w:instrText>
      </w:r>
      <w:r>
        <w:fldChar w:fldCharType="separate"/>
      </w:r>
      <w:r>
        <w:rPr>
          <w:rStyle w:val="15"/>
        </w:rPr>
        <w:t>3.1 Состав и содержание дистрибутивного носителя данных</w:t>
      </w:r>
      <w:r>
        <w:tab/>
      </w:r>
      <w:r>
        <w:fldChar w:fldCharType="begin"/>
      </w:r>
      <w:r>
        <w:instrText xml:space="preserve"> PAGEREF _Toc225866307 \h </w:instrText>
      </w:r>
      <w:r>
        <w:fldChar w:fldCharType="separate"/>
      </w:r>
      <w:r>
        <w:t>14</w:t>
      </w:r>
      <w:r>
        <w:fldChar w:fldCharType="end"/>
      </w:r>
      <w:r>
        <w:fldChar w:fldCharType="end"/>
      </w:r>
    </w:p>
    <w:p w14:paraId="60613832">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"_Toc225866308" </w:instrText>
      </w:r>
      <w:r>
        <w:fldChar w:fldCharType="separate"/>
      </w:r>
      <w:r>
        <w:rPr>
          <w:rStyle w:val="15"/>
        </w:rPr>
        <w:t>3.2 Предварительные условия</w:t>
      </w:r>
      <w:r>
        <w:tab/>
      </w:r>
      <w:r>
        <w:fldChar w:fldCharType="begin"/>
      </w:r>
      <w:r>
        <w:instrText xml:space="preserve"> PAGEREF _Toc225866308 \h </w:instrText>
      </w:r>
      <w:r>
        <w:fldChar w:fldCharType="separate"/>
      </w:r>
      <w:r>
        <w:t>14</w:t>
      </w:r>
      <w:r>
        <w:fldChar w:fldCharType="end"/>
      </w:r>
      <w:r>
        <w:fldChar w:fldCharType="end"/>
      </w:r>
    </w:p>
    <w:p w14:paraId="0CB5AE22">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"_Toc225866309" </w:instrText>
      </w:r>
      <w:r>
        <w:fldChar w:fldCharType="separate"/>
      </w:r>
      <w:r>
        <w:rPr>
          <w:rStyle w:val="15"/>
        </w:rPr>
        <w:t>3.3 Порядок запуска подсистемы</w:t>
      </w:r>
      <w:r>
        <w:tab/>
      </w:r>
      <w:r>
        <w:fldChar w:fldCharType="begin"/>
      </w:r>
      <w:r>
        <w:instrText xml:space="preserve"> PAGEREF _Toc225866309 \h </w:instrText>
      </w:r>
      <w:r>
        <w:fldChar w:fldCharType="separate"/>
      </w:r>
      <w:r>
        <w:t>14</w:t>
      </w:r>
      <w:r>
        <w:fldChar w:fldCharType="end"/>
      </w:r>
      <w:r>
        <w:fldChar w:fldCharType="end"/>
      </w:r>
    </w:p>
    <w:p w14:paraId="30E60B45">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"_Toc225866310" </w:instrText>
      </w:r>
      <w:r>
        <w:fldChar w:fldCharType="separate"/>
      </w:r>
      <w:r>
        <w:rPr>
          <w:rStyle w:val="15"/>
        </w:rPr>
        <w:t>3.4 Завершение работы</w:t>
      </w:r>
      <w:r>
        <w:tab/>
      </w:r>
      <w:r>
        <w:fldChar w:fldCharType="begin"/>
      </w:r>
      <w:r>
        <w:instrText xml:space="preserve"> PAGEREF _Toc225866310 \h </w:instrText>
      </w:r>
      <w:r>
        <w:fldChar w:fldCharType="separate"/>
      </w:r>
      <w:r>
        <w:t>17</w:t>
      </w:r>
      <w:r>
        <w:fldChar w:fldCharType="end"/>
      </w:r>
      <w:r>
        <w:fldChar w:fldCharType="end"/>
      </w:r>
    </w:p>
    <w:p w14:paraId="044B2365">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"_Toc225866311" </w:instrText>
      </w:r>
      <w:r>
        <w:fldChar w:fldCharType="separate"/>
      </w:r>
      <w:r>
        <w:rPr>
          <w:rStyle w:val="15"/>
        </w:rPr>
        <w:t>3.5 Порядок проверки работоспособности</w:t>
      </w:r>
      <w:r>
        <w:tab/>
      </w:r>
      <w:r>
        <w:fldChar w:fldCharType="begin"/>
      </w:r>
      <w:r>
        <w:instrText xml:space="preserve"> PAGEREF _Toc225866311 \h </w:instrText>
      </w:r>
      <w:r>
        <w:fldChar w:fldCharType="separate"/>
      </w:r>
      <w:r>
        <w:t>17</w:t>
      </w:r>
      <w:r>
        <w:fldChar w:fldCharType="end"/>
      </w:r>
      <w:r>
        <w:fldChar w:fldCharType="end"/>
      </w:r>
    </w:p>
    <w:p w14:paraId="51999E8D">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"_Toc225866312" </w:instrText>
      </w:r>
      <w:r>
        <w:fldChar w:fldCharType="separate"/>
      </w:r>
      <w:r>
        <w:rPr>
          <w:rStyle w:val="15"/>
        </w:rPr>
        <w:t>3.6 Описание интерфейса</w:t>
      </w:r>
      <w:r>
        <w:tab/>
      </w:r>
      <w:r>
        <w:fldChar w:fldCharType="begin"/>
      </w:r>
      <w:r>
        <w:instrText xml:space="preserve"> PAGEREF _Toc225866312 \h </w:instrText>
      </w:r>
      <w:r>
        <w:fldChar w:fldCharType="separate"/>
      </w:r>
      <w:r>
        <w:t>18</w:t>
      </w:r>
      <w:r>
        <w:fldChar w:fldCharType="end"/>
      </w:r>
      <w:r>
        <w:fldChar w:fldCharType="end"/>
      </w:r>
    </w:p>
    <w:p w14:paraId="0D645E4B">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"_Toc225866313" </w:instrText>
      </w:r>
      <w:r>
        <w:fldChar w:fldCharType="separate"/>
      </w:r>
      <w:r>
        <w:rPr>
          <w:rStyle w:val="15"/>
        </w:rPr>
        <w:t xml:space="preserve">3.6.1 Стартовая страница </w:t>
      </w:r>
      <w:r>
        <w:rPr>
          <w:rStyle w:val="15"/>
          <w:rFonts w:eastAsia="Arial Unicode MS"/>
        </w:rPr>
        <w:t>ФПУМП</w:t>
      </w:r>
      <w:r>
        <w:tab/>
      </w:r>
      <w:r>
        <w:fldChar w:fldCharType="begin"/>
      </w:r>
      <w:r>
        <w:instrText xml:space="preserve"> PAGEREF _Toc225866313 \h </w:instrText>
      </w:r>
      <w:r>
        <w:fldChar w:fldCharType="separate"/>
      </w:r>
      <w:r>
        <w:t>18</w:t>
      </w:r>
      <w:r>
        <w:fldChar w:fldCharType="end"/>
      </w:r>
      <w:r>
        <w:fldChar w:fldCharType="end"/>
      </w:r>
    </w:p>
    <w:p w14:paraId="5E821945">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"_Toc225866314" </w:instrText>
      </w:r>
      <w:r>
        <w:fldChar w:fldCharType="separate"/>
      </w:r>
      <w:r>
        <w:rPr>
          <w:rStyle w:val="15"/>
        </w:rPr>
        <w:t>3.6.2 Область отображения данных пользователя</w:t>
      </w:r>
      <w:r>
        <w:tab/>
      </w:r>
      <w:r>
        <w:fldChar w:fldCharType="begin"/>
      </w:r>
      <w:r>
        <w:instrText xml:space="preserve"> PAGEREF _Toc225866314 \h </w:instrText>
      </w:r>
      <w:r>
        <w:fldChar w:fldCharType="separate"/>
      </w:r>
      <w:r>
        <w:t>18</w:t>
      </w:r>
      <w:r>
        <w:fldChar w:fldCharType="end"/>
      </w:r>
      <w:r>
        <w:fldChar w:fldCharType="end"/>
      </w:r>
    </w:p>
    <w:p w14:paraId="4010447B">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"_Toc225866315" </w:instrText>
      </w:r>
      <w:r>
        <w:fldChar w:fldCharType="separate"/>
      </w:r>
      <w:r>
        <w:rPr>
          <w:rStyle w:val="15"/>
          <w:rFonts w:eastAsia="Arial Unicode MS"/>
        </w:rPr>
        <w:t>3.6.3 Лента главного меню</w:t>
      </w:r>
      <w:r>
        <w:tab/>
      </w:r>
      <w:r>
        <w:fldChar w:fldCharType="begin"/>
      </w:r>
      <w:r>
        <w:instrText xml:space="preserve"> PAGEREF _Toc225866315 \h </w:instrText>
      </w:r>
      <w:r>
        <w:fldChar w:fldCharType="separate"/>
      </w:r>
      <w:r>
        <w:t>19</w:t>
      </w:r>
      <w:r>
        <w:fldChar w:fldCharType="end"/>
      </w:r>
      <w:r>
        <w:fldChar w:fldCharType="end"/>
      </w:r>
    </w:p>
    <w:p w14:paraId="4B200969">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"_Toc225866316" </w:instrText>
      </w:r>
      <w:r>
        <w:fldChar w:fldCharType="separate"/>
      </w:r>
      <w:r>
        <w:rPr>
          <w:rStyle w:val="15"/>
        </w:rPr>
        <w:t>3.6.4 Панель фильтрации и поиска информации</w:t>
      </w:r>
      <w:r>
        <w:tab/>
      </w:r>
      <w:r>
        <w:fldChar w:fldCharType="begin"/>
      </w:r>
      <w:r>
        <w:instrText xml:space="preserve"> PAGEREF _Toc225866316 \h </w:instrText>
      </w:r>
      <w:r>
        <w:fldChar w:fldCharType="separate"/>
      </w:r>
      <w:r>
        <w:t>20</w:t>
      </w:r>
      <w:r>
        <w:fldChar w:fldCharType="end"/>
      </w:r>
      <w:r>
        <w:fldChar w:fldCharType="end"/>
      </w:r>
    </w:p>
    <w:p w14:paraId="2715DC1C">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"_Toc225866317" </w:instrText>
      </w:r>
      <w:r>
        <w:fldChar w:fldCharType="separate"/>
      </w:r>
      <w:r>
        <w:rPr>
          <w:rStyle w:val="15"/>
        </w:rPr>
        <w:t>3.6.5 Рабочая область</w:t>
      </w:r>
      <w:r>
        <w:tab/>
      </w:r>
      <w:r>
        <w:fldChar w:fldCharType="begin"/>
      </w:r>
      <w:r>
        <w:instrText xml:space="preserve"> PAGEREF _Toc225866317 \h </w:instrText>
      </w:r>
      <w:r>
        <w:fldChar w:fldCharType="separate"/>
      </w:r>
      <w:r>
        <w:t>21</w:t>
      </w:r>
      <w:r>
        <w:fldChar w:fldCharType="end"/>
      </w:r>
      <w:r>
        <w:fldChar w:fldCharType="end"/>
      </w:r>
    </w:p>
    <w:p w14:paraId="0CA9E548">
      <w:pPr>
        <w:pStyle w:val="25"/>
        <w:rPr>
          <w:rFonts w:asciiTheme="minorHAnsi" w:hAnsiTheme="minorHAnsi" w:eastAsiaTheme="minorEastAsia" w:cstheme="minorBidi"/>
          <w:bCs w:val="0"/>
          <w:iCs w:val="0"/>
          <w:kern w:val="2"/>
          <w:lang w:val="ru-RU"/>
          <w14:ligatures w14:val="standardContextual"/>
        </w:rPr>
      </w:pPr>
      <w:r>
        <w:fldChar w:fldCharType="begin"/>
      </w:r>
      <w:r>
        <w:instrText xml:space="preserve"> HYPERLINK \l "_Toc225866318" </w:instrText>
      </w:r>
      <w:r>
        <w:fldChar w:fldCharType="separate"/>
      </w:r>
      <w:r>
        <w:rPr>
          <w:rStyle w:val="15"/>
        </w:rPr>
        <w:t>4 Описание операций</w:t>
      </w:r>
      <w:r>
        <w:tab/>
      </w:r>
      <w:r>
        <w:fldChar w:fldCharType="begin"/>
      </w:r>
      <w:r>
        <w:instrText xml:space="preserve"> PAGEREF _Toc225866318 \h </w:instrText>
      </w:r>
      <w:r>
        <w:fldChar w:fldCharType="separate"/>
      </w:r>
      <w:r>
        <w:t>24</w:t>
      </w:r>
      <w:r>
        <w:fldChar w:fldCharType="end"/>
      </w:r>
      <w:r>
        <w:fldChar w:fldCharType="end"/>
      </w:r>
    </w:p>
    <w:p w14:paraId="6CCDBD17">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"_Toc225866319" </w:instrText>
      </w:r>
      <w:r>
        <w:fldChar w:fldCharType="separate"/>
      </w:r>
      <w:r>
        <w:rPr>
          <w:rStyle w:val="15"/>
        </w:rPr>
        <w:t>4.1 Перечень выполняемых операций и задач</w:t>
      </w:r>
      <w:r>
        <w:tab/>
      </w:r>
      <w:r>
        <w:fldChar w:fldCharType="begin"/>
      </w:r>
      <w:r>
        <w:instrText xml:space="preserve"> PAGEREF _Toc225866319 \h </w:instrText>
      </w:r>
      <w:r>
        <w:fldChar w:fldCharType="separate"/>
      </w:r>
      <w:r>
        <w:t>24</w:t>
      </w:r>
      <w:r>
        <w:fldChar w:fldCharType="end"/>
      </w:r>
      <w:r>
        <w:fldChar w:fldCharType="end"/>
      </w:r>
    </w:p>
    <w:p w14:paraId="2BDC1591">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"_Toc225866320" </w:instrText>
      </w:r>
      <w:r>
        <w:fldChar w:fldCharType="separate"/>
      </w:r>
      <w:r>
        <w:rPr>
          <w:rStyle w:val="15"/>
        </w:rPr>
        <w:t>4.2 Работа со счетами на оплату медицинской помощи</w:t>
      </w:r>
      <w:r>
        <w:tab/>
      </w:r>
      <w:r>
        <w:fldChar w:fldCharType="begin"/>
      </w:r>
      <w:r>
        <w:instrText xml:space="preserve"> PAGEREF _Toc225866320 \h </w:instrText>
      </w:r>
      <w:r>
        <w:fldChar w:fldCharType="separate"/>
      </w:r>
      <w:r>
        <w:t>30</w:t>
      </w:r>
      <w:r>
        <w:fldChar w:fldCharType="end"/>
      </w:r>
      <w:r>
        <w:fldChar w:fldCharType="end"/>
      </w:r>
    </w:p>
    <w:p w14:paraId="3534190B">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"_Toc225866321" </w:instrText>
      </w:r>
      <w:r>
        <w:fldChar w:fldCharType="separate"/>
      </w:r>
      <w:r>
        <w:rPr>
          <w:rStyle w:val="15"/>
          <w:lang w:eastAsia="en-US"/>
        </w:rPr>
        <w:t>4.2.1 Просмотр реестра счетов</w:t>
      </w:r>
      <w:r>
        <w:tab/>
      </w:r>
      <w:r>
        <w:fldChar w:fldCharType="begin"/>
      </w:r>
      <w:r>
        <w:instrText xml:space="preserve"> PAGEREF _Toc225866321 \h </w:instrText>
      </w:r>
      <w:r>
        <w:fldChar w:fldCharType="separate"/>
      </w:r>
      <w:r>
        <w:t>30</w:t>
      </w:r>
      <w:r>
        <w:fldChar w:fldCharType="end"/>
      </w:r>
      <w:r>
        <w:fldChar w:fldCharType="end"/>
      </w:r>
    </w:p>
    <w:p w14:paraId="2AB18BC5">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"_Toc225866322" </w:instrText>
      </w:r>
      <w:r>
        <w:fldChar w:fldCharType="separate"/>
      </w:r>
      <w:r>
        <w:rPr>
          <w:rStyle w:val="15"/>
        </w:rPr>
        <w:t>4.2.2 Поиск и просмотр счета</w:t>
      </w:r>
      <w:r>
        <w:tab/>
      </w:r>
      <w:r>
        <w:fldChar w:fldCharType="begin"/>
      </w:r>
      <w:r>
        <w:instrText xml:space="preserve"> PAGEREF _Toc225866322 \h </w:instrText>
      </w:r>
      <w:r>
        <w:fldChar w:fldCharType="separate"/>
      </w:r>
      <w:r>
        <w:t>31</w:t>
      </w:r>
      <w:r>
        <w:fldChar w:fldCharType="end"/>
      </w:r>
      <w:r>
        <w:fldChar w:fldCharType="end"/>
      </w:r>
    </w:p>
    <w:p w14:paraId="784BD70F">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"_Toc225866323" </w:instrText>
      </w:r>
      <w:r>
        <w:fldChar w:fldCharType="separate"/>
      </w:r>
      <w:r>
        <w:rPr>
          <w:rStyle w:val="15"/>
        </w:rPr>
        <w:t>4.2.3 Просмотр и выгрузка паспорта счета</w:t>
      </w:r>
      <w:r>
        <w:tab/>
      </w:r>
      <w:r>
        <w:fldChar w:fldCharType="begin"/>
      </w:r>
      <w:r>
        <w:instrText xml:space="preserve"> PAGEREF _Toc225866323 \h </w:instrText>
      </w:r>
      <w:r>
        <w:fldChar w:fldCharType="separate"/>
      </w:r>
      <w:r>
        <w:t>36</w:t>
      </w:r>
      <w:r>
        <w:fldChar w:fldCharType="end"/>
      </w:r>
      <w:r>
        <w:fldChar w:fldCharType="end"/>
      </w:r>
    </w:p>
    <w:p w14:paraId="10865A21">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"_Toc225866324" </w:instrText>
      </w:r>
      <w:r>
        <w:fldChar w:fldCharType="separate"/>
      </w:r>
      <w:r>
        <w:rPr>
          <w:rStyle w:val="15"/>
        </w:rPr>
        <w:t>4.2.4 Просмотр акта расчетов</w:t>
      </w:r>
      <w:r>
        <w:tab/>
      </w:r>
      <w:r>
        <w:fldChar w:fldCharType="begin"/>
      </w:r>
      <w:r>
        <w:instrText xml:space="preserve"> PAGEREF _Toc225866324 \h </w:instrText>
      </w:r>
      <w:r>
        <w:fldChar w:fldCharType="separate"/>
      </w:r>
      <w:r>
        <w:t>39</w:t>
      </w:r>
      <w:r>
        <w:fldChar w:fldCharType="end"/>
      </w:r>
      <w:r>
        <w:fldChar w:fldCharType="end"/>
      </w:r>
    </w:p>
    <w:p w14:paraId="0D3C6B40">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"_Toc225866325" </w:instrText>
      </w:r>
      <w:r>
        <w:fldChar w:fldCharType="separate"/>
      </w:r>
      <w:r>
        <w:rPr>
          <w:rStyle w:val="15"/>
        </w:rPr>
        <w:t>4.2.5 Просмотр реестра медицинских услуг, оказанных МО в отчетном периоде</w:t>
      </w:r>
      <w:r>
        <w:tab/>
      </w:r>
      <w:r>
        <w:fldChar w:fldCharType="begin"/>
      </w:r>
      <w:r>
        <w:instrText xml:space="preserve"> PAGEREF _Toc225866325 \h </w:instrText>
      </w:r>
      <w:r>
        <w:fldChar w:fldCharType="separate"/>
      </w:r>
      <w:r>
        <w:t>41</w:t>
      </w:r>
      <w:r>
        <w:fldChar w:fldCharType="end"/>
      </w:r>
      <w:r>
        <w:fldChar w:fldCharType="end"/>
      </w:r>
    </w:p>
    <w:p w14:paraId="61EB1FC2">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"_Toc225866326" </w:instrText>
      </w:r>
      <w:r>
        <w:fldChar w:fldCharType="separate"/>
      </w:r>
      <w:r>
        <w:rPr>
          <w:rStyle w:val="15"/>
          <w:lang w:eastAsia="en-US"/>
        </w:rPr>
        <w:t>4.2.6 Проведение МЭК</w:t>
      </w:r>
      <w:r>
        <w:tab/>
      </w:r>
      <w:r>
        <w:fldChar w:fldCharType="begin"/>
      </w:r>
      <w:r>
        <w:instrText xml:space="preserve"> PAGEREF _Toc225866326 \h </w:instrText>
      </w:r>
      <w:r>
        <w:fldChar w:fldCharType="separate"/>
      </w:r>
      <w:r>
        <w:t>41</w:t>
      </w:r>
      <w:r>
        <w:fldChar w:fldCharType="end"/>
      </w:r>
      <w:r>
        <w:fldChar w:fldCharType="end"/>
      </w:r>
    </w:p>
    <w:p w14:paraId="142E4772">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"_Toc225866327" </w:instrText>
      </w:r>
      <w:r>
        <w:fldChar w:fldCharType="separate"/>
      </w:r>
      <w:r>
        <w:rPr>
          <w:rStyle w:val="15"/>
        </w:rPr>
        <w:t>4.2.7 Просмотр результатов МЭК</w:t>
      </w:r>
      <w:r>
        <w:tab/>
      </w:r>
      <w:r>
        <w:fldChar w:fldCharType="begin"/>
      </w:r>
      <w:r>
        <w:instrText xml:space="preserve"> PAGEREF _Toc225866327 \h </w:instrText>
      </w:r>
      <w:r>
        <w:fldChar w:fldCharType="separate"/>
      </w:r>
      <w:r>
        <w:t>44</w:t>
      </w:r>
      <w:r>
        <w:fldChar w:fldCharType="end"/>
      </w:r>
      <w:r>
        <w:fldChar w:fldCharType="end"/>
      </w:r>
    </w:p>
    <w:p w14:paraId="4E779E74">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"_Toc225866328" </w:instrText>
      </w:r>
      <w:r>
        <w:fldChar w:fldCharType="separate"/>
      </w:r>
      <w:r>
        <w:rPr>
          <w:rStyle w:val="15"/>
        </w:rPr>
        <w:t>4.2.8 Формирование и отправка предварительного ответа</w:t>
      </w:r>
      <w:r>
        <w:tab/>
      </w:r>
      <w:r>
        <w:fldChar w:fldCharType="begin"/>
      </w:r>
      <w:r>
        <w:instrText xml:space="preserve"> PAGEREF _Toc225866328 \h </w:instrText>
      </w:r>
      <w:r>
        <w:fldChar w:fldCharType="separate"/>
      </w:r>
      <w:r>
        <w:t>45</w:t>
      </w:r>
      <w:r>
        <w:fldChar w:fldCharType="end"/>
      </w:r>
      <w:r>
        <w:fldChar w:fldCharType="end"/>
      </w:r>
    </w:p>
    <w:p w14:paraId="5E06B143">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"_Toc225866329" </w:instrText>
      </w:r>
      <w:r>
        <w:fldChar w:fldCharType="separate"/>
      </w:r>
      <w:r>
        <w:rPr>
          <w:rStyle w:val="15"/>
          <w:lang w:eastAsia="en-US"/>
        </w:rPr>
        <w:t>4.2.9 Формирование финального ответа</w:t>
      </w:r>
      <w:r>
        <w:tab/>
      </w:r>
      <w:r>
        <w:fldChar w:fldCharType="begin"/>
      </w:r>
      <w:r>
        <w:instrText xml:space="preserve"> PAGEREF _Toc225866329 \h </w:instrText>
      </w:r>
      <w:r>
        <w:fldChar w:fldCharType="separate"/>
      </w:r>
      <w:r>
        <w:t>46</w:t>
      </w:r>
      <w:r>
        <w:fldChar w:fldCharType="end"/>
      </w:r>
      <w:r>
        <w:fldChar w:fldCharType="end"/>
      </w:r>
    </w:p>
    <w:p w14:paraId="41CB5179">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"_Toc225866330" </w:instrText>
      </w:r>
      <w:r>
        <w:fldChar w:fldCharType="separate"/>
      </w:r>
      <w:r>
        <w:rPr>
          <w:rStyle w:val="15"/>
        </w:rPr>
        <w:t>4.2.10 Подписание финального ответа плательщика</w:t>
      </w:r>
      <w:r>
        <w:tab/>
      </w:r>
      <w:r>
        <w:fldChar w:fldCharType="begin"/>
      </w:r>
      <w:r>
        <w:instrText xml:space="preserve"> PAGEREF _Toc225866330 \h </w:instrText>
      </w:r>
      <w:r>
        <w:fldChar w:fldCharType="separate"/>
      </w:r>
      <w:r>
        <w:t>47</w:t>
      </w:r>
      <w:r>
        <w:fldChar w:fldCharType="end"/>
      </w:r>
      <w:r>
        <w:fldChar w:fldCharType="end"/>
      </w:r>
    </w:p>
    <w:p w14:paraId="30016BA5">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"_Toc225866331" </w:instrText>
      </w:r>
      <w:r>
        <w:fldChar w:fldCharType="separate"/>
      </w:r>
      <w:r>
        <w:rPr>
          <w:rStyle w:val="15"/>
        </w:rPr>
        <w:t>4.2.11 Отправка финального ответа</w:t>
      </w:r>
      <w:r>
        <w:tab/>
      </w:r>
      <w:r>
        <w:fldChar w:fldCharType="begin"/>
      </w:r>
      <w:r>
        <w:instrText xml:space="preserve"> PAGEREF _Toc225866331 \h </w:instrText>
      </w:r>
      <w:r>
        <w:fldChar w:fldCharType="separate"/>
      </w:r>
      <w:r>
        <w:t>48</w:t>
      </w:r>
      <w:r>
        <w:fldChar w:fldCharType="end"/>
      </w:r>
      <w:r>
        <w:fldChar w:fldCharType="end"/>
      </w:r>
    </w:p>
    <w:p w14:paraId="418B66DE">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"_Toc225866332" </w:instrText>
      </w:r>
      <w:r>
        <w:fldChar w:fldCharType="separate"/>
      </w:r>
      <w:r>
        <w:rPr>
          <w:rStyle w:val="15"/>
        </w:rPr>
        <w:t>4.2.12 Возврат счета в МО</w:t>
      </w:r>
      <w:r>
        <w:tab/>
      </w:r>
      <w:r>
        <w:fldChar w:fldCharType="begin"/>
      </w:r>
      <w:r>
        <w:instrText xml:space="preserve"> PAGEREF _Toc225866332 \h </w:instrText>
      </w:r>
      <w:r>
        <w:fldChar w:fldCharType="separate"/>
      </w:r>
      <w:r>
        <w:t>48</w:t>
      </w:r>
      <w:r>
        <w:fldChar w:fldCharType="end"/>
      </w:r>
      <w:r>
        <w:fldChar w:fldCharType="end"/>
      </w:r>
    </w:p>
    <w:p w14:paraId="1BF628E5">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"_Toc225866333" </w:instrText>
      </w:r>
      <w:r>
        <w:fldChar w:fldCharType="separate"/>
      </w:r>
      <w:r>
        <w:rPr>
          <w:rStyle w:val="15"/>
        </w:rPr>
        <w:t>4.3 Просмотр сведений об информационном взаимодействии между МО и Плательщиком</w:t>
      </w:r>
      <w:r>
        <w:tab/>
      </w:r>
      <w:r>
        <w:fldChar w:fldCharType="begin"/>
      </w:r>
      <w:r>
        <w:instrText xml:space="preserve"> PAGEREF _Toc225866333 \h </w:instrText>
      </w:r>
      <w:r>
        <w:fldChar w:fldCharType="separate"/>
      </w:r>
      <w:r>
        <w:t>49</w:t>
      </w:r>
      <w:r>
        <w:fldChar w:fldCharType="end"/>
      </w:r>
      <w:r>
        <w:fldChar w:fldCharType="end"/>
      </w:r>
    </w:p>
    <w:p w14:paraId="4D8B8F4A">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"_Toc225866334" </w:instrText>
      </w:r>
      <w:r>
        <w:fldChar w:fldCharType="separate"/>
      </w:r>
      <w:r>
        <w:rPr>
          <w:rStyle w:val="15"/>
        </w:rPr>
        <w:t>4.3.1 Поиск и просмотр сведений об информационном обмене</w:t>
      </w:r>
      <w:r>
        <w:tab/>
      </w:r>
      <w:r>
        <w:fldChar w:fldCharType="begin"/>
      </w:r>
      <w:r>
        <w:instrText xml:space="preserve"> PAGEREF _Toc225866334 \h </w:instrText>
      </w:r>
      <w:r>
        <w:fldChar w:fldCharType="separate"/>
      </w:r>
      <w:r>
        <w:t>49</w:t>
      </w:r>
      <w:r>
        <w:fldChar w:fldCharType="end"/>
      </w:r>
      <w:r>
        <w:fldChar w:fldCharType="end"/>
      </w:r>
    </w:p>
    <w:p w14:paraId="7E04E943">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"_Toc225866335" </w:instrText>
      </w:r>
      <w:r>
        <w:fldChar w:fldCharType="separate"/>
      </w:r>
      <w:r>
        <w:rPr>
          <w:rStyle w:val="15"/>
        </w:rPr>
        <w:t>4.3.2 Выгрузка отчетов информационного взаимодействия</w:t>
      </w:r>
      <w:r>
        <w:tab/>
      </w:r>
      <w:r>
        <w:fldChar w:fldCharType="begin"/>
      </w:r>
      <w:r>
        <w:instrText xml:space="preserve"> PAGEREF _Toc225866335 \h </w:instrText>
      </w:r>
      <w:r>
        <w:fldChar w:fldCharType="separate"/>
      </w:r>
      <w:r>
        <w:t>51</w:t>
      </w:r>
      <w:r>
        <w:fldChar w:fldCharType="end"/>
      </w:r>
      <w:r>
        <w:fldChar w:fldCharType="end"/>
      </w:r>
    </w:p>
    <w:p w14:paraId="1D75B850">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"_Toc225866336" </w:instrText>
      </w:r>
      <w:r>
        <w:fldChar w:fldCharType="separate"/>
      </w:r>
      <w:r>
        <w:rPr>
          <w:rStyle w:val="15"/>
        </w:rPr>
        <w:t>4.4 Просмотр учтенных сведений об оказанной медицинской помощи</w:t>
      </w:r>
      <w:r>
        <w:tab/>
      </w:r>
      <w:r>
        <w:fldChar w:fldCharType="begin"/>
      </w:r>
      <w:r>
        <w:instrText xml:space="preserve"> PAGEREF _Toc225866336 \h </w:instrText>
      </w:r>
      <w:r>
        <w:fldChar w:fldCharType="separate"/>
      </w:r>
      <w:r>
        <w:t>54</w:t>
      </w:r>
      <w:r>
        <w:fldChar w:fldCharType="end"/>
      </w:r>
      <w:r>
        <w:fldChar w:fldCharType="end"/>
      </w:r>
    </w:p>
    <w:p w14:paraId="482C8A09">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"_Toc225866337" </w:instrText>
      </w:r>
      <w:r>
        <w:fldChar w:fldCharType="separate"/>
      </w:r>
      <w:r>
        <w:rPr>
          <w:rStyle w:val="15"/>
        </w:rPr>
        <w:t>4.4.1 Поиск пациента и просмотр сведений о пациенте</w:t>
      </w:r>
      <w:r>
        <w:tab/>
      </w:r>
      <w:r>
        <w:fldChar w:fldCharType="begin"/>
      </w:r>
      <w:r>
        <w:instrText xml:space="preserve"> PAGEREF _Toc225866337 \h </w:instrText>
      </w:r>
      <w:r>
        <w:fldChar w:fldCharType="separate"/>
      </w:r>
      <w:r>
        <w:t>55</w:t>
      </w:r>
      <w:r>
        <w:fldChar w:fldCharType="end"/>
      </w:r>
      <w:r>
        <w:fldChar w:fldCharType="end"/>
      </w:r>
    </w:p>
    <w:p w14:paraId="6FB86537">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"_Toc225866338" </w:instrText>
      </w:r>
      <w:r>
        <w:fldChar w:fldCharType="separate"/>
      </w:r>
      <w:r>
        <w:rPr>
          <w:rStyle w:val="15"/>
        </w:rPr>
        <w:t>4.4.2 Поиск и просмотр СЭФД</w:t>
      </w:r>
      <w:r>
        <w:tab/>
      </w:r>
      <w:r>
        <w:fldChar w:fldCharType="begin"/>
      </w:r>
      <w:r>
        <w:instrText xml:space="preserve"> PAGEREF _Toc225866338 \h </w:instrText>
      </w:r>
      <w:r>
        <w:fldChar w:fldCharType="separate"/>
      </w:r>
      <w:r>
        <w:t>57</w:t>
      </w:r>
      <w:r>
        <w:fldChar w:fldCharType="end"/>
      </w:r>
      <w:r>
        <w:fldChar w:fldCharType="end"/>
      </w:r>
    </w:p>
    <w:p w14:paraId="100FE90B">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"_Toc225866339" </w:instrText>
      </w:r>
      <w:r>
        <w:fldChar w:fldCharType="separate"/>
      </w:r>
      <w:r>
        <w:rPr>
          <w:rStyle w:val="15"/>
        </w:rPr>
        <w:t>4.4.3 Просмотр результатов ФЛК и МЭК СЭФД</w:t>
      </w:r>
      <w:r>
        <w:tab/>
      </w:r>
      <w:r>
        <w:fldChar w:fldCharType="begin"/>
      </w:r>
      <w:r>
        <w:instrText xml:space="preserve"> PAGEREF _Toc225866339 \h </w:instrText>
      </w:r>
      <w:r>
        <w:fldChar w:fldCharType="separate"/>
      </w:r>
      <w:r>
        <w:t>62</w:t>
      </w:r>
      <w:r>
        <w:fldChar w:fldCharType="end"/>
      </w:r>
      <w:r>
        <w:fldChar w:fldCharType="end"/>
      </w:r>
    </w:p>
    <w:p w14:paraId="4D6BFA6D">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"_Toc225866340" </w:instrText>
      </w:r>
      <w:r>
        <w:fldChar w:fldCharType="separate"/>
      </w:r>
      <w:r>
        <w:rPr>
          <w:rStyle w:val="15"/>
        </w:rPr>
        <w:t>4.4.4 Просмотр сведений, попавших в счет</w:t>
      </w:r>
      <w:r>
        <w:tab/>
      </w:r>
      <w:r>
        <w:fldChar w:fldCharType="begin"/>
      </w:r>
      <w:r>
        <w:instrText xml:space="preserve"> PAGEREF _Toc225866340 \h </w:instrText>
      </w:r>
      <w:r>
        <w:fldChar w:fldCharType="separate"/>
      </w:r>
      <w:r>
        <w:t>62</w:t>
      </w:r>
      <w:r>
        <w:fldChar w:fldCharType="end"/>
      </w:r>
      <w:r>
        <w:fldChar w:fldCharType="end"/>
      </w:r>
    </w:p>
    <w:p w14:paraId="4273009D">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"_Toc225866341" </w:instrText>
      </w:r>
      <w:r>
        <w:fldChar w:fldCharType="separate"/>
      </w:r>
      <w:r>
        <w:rPr>
          <w:rStyle w:val="15"/>
        </w:rPr>
        <w:t>4.4.5 Просмотр сведений в составе СЭФД по разделу XV Правил ОМС</w:t>
      </w:r>
      <w:r>
        <w:tab/>
      </w:r>
      <w:r>
        <w:fldChar w:fldCharType="begin"/>
      </w:r>
      <w:r>
        <w:instrText xml:space="preserve"> PAGEREF _Toc225866341 \h </w:instrText>
      </w:r>
      <w:r>
        <w:fldChar w:fldCharType="separate"/>
      </w:r>
      <w:r>
        <w:t>64</w:t>
      </w:r>
      <w:r>
        <w:fldChar w:fldCharType="end"/>
      </w:r>
      <w:r>
        <w:fldChar w:fldCharType="end"/>
      </w:r>
    </w:p>
    <w:p w14:paraId="50EB58C8">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"_Toc225866342" </w:instrText>
      </w:r>
      <w:r>
        <w:fldChar w:fldCharType="separate"/>
      </w:r>
      <w:r>
        <w:rPr>
          <w:rStyle w:val="15"/>
        </w:rPr>
        <w:t>4.4.6 Просмотр сведений о расчете стоимости СЭФД</w:t>
      </w:r>
      <w:r>
        <w:tab/>
      </w:r>
      <w:r>
        <w:fldChar w:fldCharType="begin"/>
      </w:r>
      <w:r>
        <w:instrText xml:space="preserve"> PAGEREF _Toc225866342 \h </w:instrText>
      </w:r>
      <w:r>
        <w:fldChar w:fldCharType="separate"/>
      </w:r>
      <w:r>
        <w:t>66</w:t>
      </w:r>
      <w:r>
        <w:fldChar w:fldCharType="end"/>
      </w:r>
      <w:r>
        <w:fldChar w:fldCharType="end"/>
      </w:r>
    </w:p>
    <w:p w14:paraId="6FB9D103">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"_Toc225866343" </w:instrText>
      </w:r>
      <w:r>
        <w:fldChar w:fldCharType="separate"/>
      </w:r>
      <w:r>
        <w:rPr>
          <w:rStyle w:val="15"/>
        </w:rPr>
        <w:t>4.5 Просмотр реестра направлений</w:t>
      </w:r>
      <w:r>
        <w:tab/>
      </w:r>
      <w:r>
        <w:fldChar w:fldCharType="begin"/>
      </w:r>
      <w:r>
        <w:instrText xml:space="preserve"> PAGEREF _Toc225866343 \h </w:instrText>
      </w:r>
      <w:r>
        <w:fldChar w:fldCharType="separate"/>
      </w:r>
      <w:r>
        <w:t>66</w:t>
      </w:r>
      <w:r>
        <w:fldChar w:fldCharType="end"/>
      </w:r>
      <w:r>
        <w:fldChar w:fldCharType="end"/>
      </w:r>
    </w:p>
    <w:p w14:paraId="4694508F">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"_Toc225866344" </w:instrText>
      </w:r>
      <w:r>
        <w:fldChar w:fldCharType="separate"/>
      </w:r>
      <w:r>
        <w:rPr>
          <w:rStyle w:val="15"/>
          <w:lang w:eastAsia="en-US"/>
        </w:rPr>
        <w:t>4.6 Формирование сведений по авансам и снятиям</w:t>
      </w:r>
      <w:r>
        <w:tab/>
      </w:r>
      <w:r>
        <w:fldChar w:fldCharType="begin"/>
      </w:r>
      <w:r>
        <w:instrText xml:space="preserve"> PAGEREF _Toc225866344 \h </w:instrText>
      </w:r>
      <w:r>
        <w:fldChar w:fldCharType="separate"/>
      </w:r>
      <w:r>
        <w:t>69</w:t>
      </w:r>
      <w:r>
        <w:fldChar w:fldCharType="end"/>
      </w:r>
      <w:r>
        <w:fldChar w:fldCharType="end"/>
      </w:r>
    </w:p>
    <w:p w14:paraId="42E34A27">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"_Toc225866345" </w:instrText>
      </w:r>
      <w:r>
        <w:fldChar w:fldCharType="separate"/>
      </w:r>
      <w:r>
        <w:rPr>
          <w:rStyle w:val="15"/>
        </w:rPr>
        <w:t>4.6.1 Учет сведений об авансах и снятиях</w:t>
      </w:r>
      <w:r>
        <w:tab/>
      </w:r>
      <w:r>
        <w:fldChar w:fldCharType="begin"/>
      </w:r>
      <w:r>
        <w:instrText xml:space="preserve"> PAGEREF _Toc225866345 \h </w:instrText>
      </w:r>
      <w:r>
        <w:fldChar w:fldCharType="separate"/>
      </w:r>
      <w:r>
        <w:t>69</w:t>
      </w:r>
      <w:r>
        <w:fldChar w:fldCharType="end"/>
      </w:r>
      <w:r>
        <w:fldChar w:fldCharType="end"/>
      </w:r>
    </w:p>
    <w:p w14:paraId="24A08998">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"_Toc225866346" </w:instrText>
      </w:r>
      <w:r>
        <w:fldChar w:fldCharType="separate"/>
      </w:r>
      <w:r>
        <w:rPr>
          <w:rStyle w:val="15"/>
          <w:lang w:eastAsia="en-US"/>
        </w:rPr>
        <w:t>4.6.2 Просмотр сведений по авансированию и снятиям</w:t>
      </w:r>
      <w:r>
        <w:tab/>
      </w:r>
      <w:r>
        <w:fldChar w:fldCharType="begin"/>
      </w:r>
      <w:r>
        <w:instrText xml:space="preserve"> PAGEREF _Toc225866346 \h </w:instrText>
      </w:r>
      <w:r>
        <w:fldChar w:fldCharType="separate"/>
      </w:r>
      <w:r>
        <w:t>70</w:t>
      </w:r>
      <w:r>
        <w:fldChar w:fldCharType="end"/>
      </w:r>
      <w:r>
        <w:fldChar w:fldCharType="end"/>
      </w:r>
    </w:p>
    <w:p w14:paraId="3DCB5460">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"_Toc225866347" </w:instrText>
      </w:r>
      <w:r>
        <w:fldChar w:fldCharType="separate"/>
      </w:r>
      <w:r>
        <w:rPr>
          <w:rStyle w:val="15"/>
        </w:rPr>
        <w:t>4.6.3 Загрузка сведений об авансировании</w:t>
      </w:r>
      <w:r>
        <w:tab/>
      </w:r>
      <w:r>
        <w:fldChar w:fldCharType="begin"/>
      </w:r>
      <w:r>
        <w:instrText xml:space="preserve"> PAGEREF _Toc225866347 \h </w:instrText>
      </w:r>
      <w:r>
        <w:fldChar w:fldCharType="separate"/>
      </w:r>
      <w:r>
        <w:t>72</w:t>
      </w:r>
      <w:r>
        <w:fldChar w:fldCharType="end"/>
      </w:r>
      <w:r>
        <w:fldChar w:fldCharType="end"/>
      </w:r>
    </w:p>
    <w:p w14:paraId="3C70BDA4">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"_Toc225866348" </w:instrText>
      </w:r>
      <w:r>
        <w:fldChar w:fldCharType="separate"/>
      </w:r>
      <w:r>
        <w:rPr>
          <w:rStyle w:val="15"/>
        </w:rPr>
        <w:t>4.6.4 Загрузка сведений о снятиях</w:t>
      </w:r>
      <w:r>
        <w:tab/>
      </w:r>
      <w:r>
        <w:fldChar w:fldCharType="begin"/>
      </w:r>
      <w:r>
        <w:instrText xml:space="preserve"> PAGEREF _Toc225866348 \h </w:instrText>
      </w:r>
      <w:r>
        <w:fldChar w:fldCharType="separate"/>
      </w:r>
      <w:r>
        <w:t>75</w:t>
      </w:r>
      <w:r>
        <w:fldChar w:fldCharType="end"/>
      </w:r>
      <w:r>
        <w:fldChar w:fldCharType="end"/>
      </w:r>
    </w:p>
    <w:p w14:paraId="4C282374">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"_Toc225866349" </w:instrText>
      </w:r>
      <w:r>
        <w:fldChar w:fldCharType="separate"/>
      </w:r>
      <w:r>
        <w:rPr>
          <w:rStyle w:val="15"/>
        </w:rPr>
        <w:t>4.7 Мониторинг плановых и фактических показателей медицинской помощи</w:t>
      </w:r>
      <w:r>
        <w:tab/>
      </w:r>
      <w:r>
        <w:fldChar w:fldCharType="begin"/>
      </w:r>
      <w:r>
        <w:instrText xml:space="preserve"> PAGEREF _Toc225866349 \h </w:instrText>
      </w:r>
      <w:r>
        <w:fldChar w:fldCharType="separate"/>
      </w:r>
      <w:r>
        <w:t>77</w:t>
      </w:r>
      <w:r>
        <w:fldChar w:fldCharType="end"/>
      </w:r>
      <w:r>
        <w:fldChar w:fldCharType="end"/>
      </w:r>
    </w:p>
    <w:p w14:paraId="3AE5020A">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"_Toc225866350" </w:instrText>
      </w:r>
      <w:r>
        <w:fldChar w:fldCharType="separate"/>
      </w:r>
      <w:r>
        <w:rPr>
          <w:rStyle w:val="15"/>
        </w:rPr>
        <w:t>4.7.1 Просмотр плановых показателей</w:t>
      </w:r>
      <w:r>
        <w:tab/>
      </w:r>
      <w:r>
        <w:fldChar w:fldCharType="begin"/>
      </w:r>
      <w:r>
        <w:instrText xml:space="preserve"> PAGEREF _Toc225866350 \h </w:instrText>
      </w:r>
      <w:r>
        <w:fldChar w:fldCharType="separate"/>
      </w:r>
      <w:r>
        <w:t>77</w:t>
      </w:r>
      <w:r>
        <w:fldChar w:fldCharType="end"/>
      </w:r>
      <w:r>
        <w:fldChar w:fldCharType="end"/>
      </w:r>
    </w:p>
    <w:p w14:paraId="7E8C1EDC">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"_Toc225866351" </w:instrText>
      </w:r>
      <w:r>
        <w:fldChar w:fldCharType="separate"/>
      </w:r>
      <w:r>
        <w:rPr>
          <w:rStyle w:val="15"/>
        </w:rPr>
        <w:t>4.7.2 Загрузка и публикация плановых объемов территориальной базовой программы ОМС</w:t>
      </w:r>
      <w:r>
        <w:tab/>
      </w:r>
      <w:r>
        <w:fldChar w:fldCharType="begin"/>
      </w:r>
      <w:r>
        <w:instrText xml:space="preserve"> PAGEREF _Toc225866351 \h </w:instrText>
      </w:r>
      <w:r>
        <w:fldChar w:fldCharType="separate"/>
      </w:r>
      <w:r>
        <w:t>79</w:t>
      </w:r>
      <w:r>
        <w:fldChar w:fldCharType="end"/>
      </w:r>
      <w:r>
        <w:fldChar w:fldCharType="end"/>
      </w:r>
    </w:p>
    <w:p w14:paraId="6088C6F8">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"_Toc225866352" </w:instrText>
      </w:r>
      <w:r>
        <w:fldChar w:fldCharType="separate"/>
      </w:r>
      <w:r>
        <w:rPr>
          <w:rStyle w:val="15"/>
        </w:rPr>
        <w:t>4.7.3 Просмотр квартальных планов МО</w:t>
      </w:r>
      <w:r>
        <w:tab/>
      </w:r>
      <w:r>
        <w:fldChar w:fldCharType="begin"/>
      </w:r>
      <w:r>
        <w:instrText xml:space="preserve"> PAGEREF _Toc225866352 \h </w:instrText>
      </w:r>
      <w:r>
        <w:fldChar w:fldCharType="separate"/>
      </w:r>
      <w:r>
        <w:t>87</w:t>
      </w:r>
      <w:r>
        <w:fldChar w:fldCharType="end"/>
      </w:r>
      <w:r>
        <w:fldChar w:fldCharType="end"/>
      </w:r>
    </w:p>
    <w:p w14:paraId="7A460B68">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"_Toc225866353" </w:instrText>
      </w:r>
      <w:r>
        <w:fldChar w:fldCharType="separate"/>
      </w:r>
      <w:r>
        <w:rPr>
          <w:rStyle w:val="15"/>
        </w:rPr>
        <w:t>4.7.4 Контроль выполнения плановых объемов медицинской помощи</w:t>
      </w:r>
      <w:r>
        <w:tab/>
      </w:r>
      <w:r>
        <w:fldChar w:fldCharType="begin"/>
      </w:r>
      <w:r>
        <w:instrText xml:space="preserve"> PAGEREF _Toc225866353 \h </w:instrText>
      </w:r>
      <w:r>
        <w:fldChar w:fldCharType="separate"/>
      </w:r>
      <w:r>
        <w:t>89</w:t>
      </w:r>
      <w:r>
        <w:fldChar w:fldCharType="end"/>
      </w:r>
      <w:r>
        <w:fldChar w:fldCharType="end"/>
      </w:r>
    </w:p>
    <w:p w14:paraId="6C308386">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"_Toc225866354" </w:instrText>
      </w:r>
      <w:r>
        <w:fldChar w:fldCharType="separate"/>
      </w:r>
      <w:r>
        <w:rPr>
          <w:rStyle w:val="15"/>
        </w:rPr>
        <w:t>4.7.5 Просмотр фактических показателей</w:t>
      </w:r>
      <w:r>
        <w:tab/>
      </w:r>
      <w:r>
        <w:fldChar w:fldCharType="begin"/>
      </w:r>
      <w:r>
        <w:instrText xml:space="preserve"> PAGEREF _Toc225866354 \h </w:instrText>
      </w:r>
      <w:r>
        <w:fldChar w:fldCharType="separate"/>
      </w:r>
      <w:r>
        <w:t>89</w:t>
      </w:r>
      <w:r>
        <w:fldChar w:fldCharType="end"/>
      </w:r>
      <w:r>
        <w:fldChar w:fldCharType="end"/>
      </w:r>
    </w:p>
    <w:p w14:paraId="1C329781">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"_Toc225866355" </w:instrText>
      </w:r>
      <w:r>
        <w:fldChar w:fldCharType="separate"/>
      </w:r>
      <w:r>
        <w:rPr>
          <w:rStyle w:val="15"/>
        </w:rPr>
        <w:t>4.7.6 Формирование и просмотр отчетов по исполнению объемов МП</w:t>
      </w:r>
      <w:r>
        <w:tab/>
      </w:r>
      <w:r>
        <w:fldChar w:fldCharType="begin"/>
      </w:r>
      <w:r>
        <w:instrText xml:space="preserve"> PAGEREF _Toc225866355 \h </w:instrText>
      </w:r>
      <w:r>
        <w:fldChar w:fldCharType="separate"/>
      </w:r>
      <w:r>
        <w:t>91</w:t>
      </w:r>
      <w:r>
        <w:fldChar w:fldCharType="end"/>
      </w:r>
      <w:r>
        <w:fldChar w:fldCharType="end"/>
      </w:r>
    </w:p>
    <w:p w14:paraId="5BEAF206">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"_Toc225866356" </w:instrText>
      </w:r>
      <w:r>
        <w:fldChar w:fldCharType="separate"/>
      </w:r>
      <w:r>
        <w:rPr>
          <w:rStyle w:val="15"/>
        </w:rPr>
        <w:t>4.8 Просмотр результатов экспертизы</w:t>
      </w:r>
      <w:r>
        <w:tab/>
      </w:r>
      <w:r>
        <w:fldChar w:fldCharType="begin"/>
      </w:r>
      <w:r>
        <w:instrText xml:space="preserve"> PAGEREF _Toc225866356 \h </w:instrText>
      </w:r>
      <w:r>
        <w:fldChar w:fldCharType="separate"/>
      </w:r>
      <w:r>
        <w:t>91</w:t>
      </w:r>
      <w:r>
        <w:fldChar w:fldCharType="end"/>
      </w:r>
      <w:r>
        <w:fldChar w:fldCharType="end"/>
      </w:r>
    </w:p>
    <w:p w14:paraId="5F53B8EE">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"_Toc225866357" </w:instrText>
      </w:r>
      <w:r>
        <w:fldChar w:fldCharType="separate"/>
      </w:r>
      <w:r>
        <w:rPr>
          <w:rStyle w:val="15"/>
        </w:rPr>
        <w:t>4.8.1 Общие сведения о проведении МЭЭ и ЭКМП</w:t>
      </w:r>
      <w:r>
        <w:tab/>
      </w:r>
      <w:r>
        <w:fldChar w:fldCharType="begin"/>
      </w:r>
      <w:r>
        <w:instrText xml:space="preserve"> PAGEREF _Toc225866357 \h </w:instrText>
      </w:r>
      <w:r>
        <w:fldChar w:fldCharType="separate"/>
      </w:r>
      <w:r>
        <w:t>91</w:t>
      </w:r>
      <w:r>
        <w:fldChar w:fldCharType="end"/>
      </w:r>
      <w:r>
        <w:fldChar w:fldCharType="end"/>
      </w:r>
    </w:p>
    <w:p w14:paraId="29EA59C1">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"_Toc225866358" </w:instrText>
      </w:r>
      <w:r>
        <w:fldChar w:fldCharType="separate"/>
      </w:r>
      <w:r>
        <w:rPr>
          <w:rStyle w:val="15"/>
          <w:lang w:eastAsia="en-US"/>
        </w:rPr>
        <w:t>4.8.2 Поиск и просмотр экспертиз</w:t>
      </w:r>
      <w:r>
        <w:tab/>
      </w:r>
      <w:r>
        <w:fldChar w:fldCharType="begin"/>
      </w:r>
      <w:r>
        <w:instrText xml:space="preserve"> PAGEREF _Toc225866358 \h </w:instrText>
      </w:r>
      <w:r>
        <w:fldChar w:fldCharType="separate"/>
      </w:r>
      <w:r>
        <w:t>93</w:t>
      </w:r>
      <w:r>
        <w:fldChar w:fldCharType="end"/>
      </w:r>
      <w:r>
        <w:fldChar w:fldCharType="end"/>
      </w:r>
    </w:p>
    <w:p w14:paraId="1E820C0B">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"_Toc225866359" </w:instrText>
      </w:r>
      <w:r>
        <w:fldChar w:fldCharType="separate"/>
      </w:r>
      <w:r>
        <w:rPr>
          <w:rStyle w:val="15"/>
        </w:rPr>
        <w:t>4.8.3 Просмотр уведомлений о проведении экспертизы</w:t>
      </w:r>
      <w:r>
        <w:tab/>
      </w:r>
      <w:r>
        <w:fldChar w:fldCharType="begin"/>
      </w:r>
      <w:r>
        <w:instrText xml:space="preserve"> PAGEREF _Toc225866359 \h </w:instrText>
      </w:r>
      <w:r>
        <w:fldChar w:fldCharType="separate"/>
      </w:r>
      <w:r>
        <w:t>97</w:t>
      </w:r>
      <w:r>
        <w:fldChar w:fldCharType="end"/>
      </w:r>
      <w:r>
        <w:fldChar w:fldCharType="end"/>
      </w:r>
    </w:p>
    <w:p w14:paraId="7E14CE0B">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"_Toc225866360" </w:instrText>
      </w:r>
      <w:r>
        <w:fldChar w:fldCharType="separate"/>
      </w:r>
      <w:r>
        <w:rPr>
          <w:rStyle w:val="15"/>
        </w:rPr>
        <w:t>4.8.4</w:t>
      </w:r>
      <w:r>
        <w:rPr>
          <w:rStyle w:val="15"/>
          <w:lang w:eastAsia="en-US"/>
        </w:rPr>
        <w:t xml:space="preserve"> Просмотр заключения по результатам экспертизы</w:t>
      </w:r>
      <w:r>
        <w:tab/>
      </w:r>
      <w:r>
        <w:fldChar w:fldCharType="begin"/>
      </w:r>
      <w:r>
        <w:instrText xml:space="preserve"> PAGEREF _Toc225866360 \h </w:instrText>
      </w:r>
      <w:r>
        <w:fldChar w:fldCharType="separate"/>
      </w:r>
      <w:r>
        <w:t>98</w:t>
      </w:r>
      <w:r>
        <w:fldChar w:fldCharType="end"/>
      </w:r>
      <w:r>
        <w:fldChar w:fldCharType="end"/>
      </w:r>
    </w:p>
    <w:p w14:paraId="7F318A35">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"_Toc225866361" </w:instrText>
      </w:r>
      <w:r>
        <w:fldChar w:fldCharType="separate"/>
      </w:r>
      <w:r>
        <w:rPr>
          <w:rStyle w:val="15"/>
        </w:rPr>
        <w:t>4.9 Проведение повторного МЭК</w:t>
      </w:r>
      <w:r>
        <w:tab/>
      </w:r>
      <w:r>
        <w:fldChar w:fldCharType="begin"/>
      </w:r>
      <w:r>
        <w:instrText xml:space="preserve"> PAGEREF _Toc225866361 \h </w:instrText>
      </w:r>
      <w:r>
        <w:fldChar w:fldCharType="separate"/>
      </w:r>
      <w:r>
        <w:t>103</w:t>
      </w:r>
      <w:r>
        <w:fldChar w:fldCharType="end"/>
      </w:r>
      <w:r>
        <w:fldChar w:fldCharType="end"/>
      </w:r>
    </w:p>
    <w:p w14:paraId="2A900A2B">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"_Toc225866362" </w:instrText>
      </w:r>
      <w:r>
        <w:fldChar w:fldCharType="separate"/>
      </w:r>
      <w:r>
        <w:rPr>
          <w:rStyle w:val="15"/>
        </w:rPr>
        <w:t>4.9.1 Просмотр повторных МЭК</w:t>
      </w:r>
      <w:r>
        <w:tab/>
      </w:r>
      <w:r>
        <w:fldChar w:fldCharType="begin"/>
      </w:r>
      <w:r>
        <w:instrText xml:space="preserve"> PAGEREF _Toc225866362 \h </w:instrText>
      </w:r>
      <w:r>
        <w:fldChar w:fldCharType="separate"/>
      </w:r>
      <w:r>
        <w:t>103</w:t>
      </w:r>
      <w:r>
        <w:fldChar w:fldCharType="end"/>
      </w:r>
      <w:r>
        <w:fldChar w:fldCharType="end"/>
      </w:r>
    </w:p>
    <w:p w14:paraId="72E2D149">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"_Toc225866363" </w:instrText>
      </w:r>
      <w:r>
        <w:fldChar w:fldCharType="separate"/>
      </w:r>
      <w:r>
        <w:rPr>
          <w:rStyle w:val="15"/>
        </w:rPr>
        <w:t>4.9.2 Выполнение повторного МЭК</w:t>
      </w:r>
      <w:r>
        <w:tab/>
      </w:r>
      <w:r>
        <w:fldChar w:fldCharType="begin"/>
      </w:r>
      <w:r>
        <w:instrText xml:space="preserve"> PAGEREF _Toc225866363 \h </w:instrText>
      </w:r>
      <w:r>
        <w:fldChar w:fldCharType="separate"/>
      </w:r>
      <w:r>
        <w:t>108</w:t>
      </w:r>
      <w:r>
        <w:fldChar w:fldCharType="end"/>
      </w:r>
      <w:r>
        <w:fldChar w:fldCharType="end"/>
      </w:r>
    </w:p>
    <w:p w14:paraId="0283CA2B">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"_Toc225866364" </w:instrText>
      </w:r>
      <w:r>
        <w:fldChar w:fldCharType="separate"/>
      </w:r>
      <w:r>
        <w:rPr>
          <w:rStyle w:val="15"/>
        </w:rPr>
        <w:t>4.9.3 Подписание документов повторного МЭК</w:t>
      </w:r>
      <w:r>
        <w:tab/>
      </w:r>
      <w:r>
        <w:fldChar w:fldCharType="begin"/>
      </w:r>
      <w:r>
        <w:instrText xml:space="preserve"> PAGEREF _Toc225866364 \h </w:instrText>
      </w:r>
      <w:r>
        <w:fldChar w:fldCharType="separate"/>
      </w:r>
      <w:r>
        <w:t>112</w:t>
      </w:r>
      <w:r>
        <w:fldChar w:fldCharType="end"/>
      </w:r>
      <w:r>
        <w:fldChar w:fldCharType="end"/>
      </w:r>
    </w:p>
    <w:p w14:paraId="14EF95C9">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"_Toc225866365" </w:instrText>
      </w:r>
      <w:r>
        <w:fldChar w:fldCharType="separate"/>
      </w:r>
      <w:r>
        <w:rPr>
          <w:rStyle w:val="15"/>
        </w:rPr>
        <w:t>4.9.4 Публикация повторного МЭК</w:t>
      </w:r>
      <w:r>
        <w:tab/>
      </w:r>
      <w:r>
        <w:fldChar w:fldCharType="begin"/>
      </w:r>
      <w:r>
        <w:instrText xml:space="preserve"> PAGEREF _Toc225866365 \h </w:instrText>
      </w:r>
      <w:r>
        <w:fldChar w:fldCharType="separate"/>
      </w:r>
      <w:r>
        <w:t>113</w:t>
      </w:r>
      <w:r>
        <w:fldChar w:fldCharType="end"/>
      </w:r>
      <w:r>
        <w:fldChar w:fldCharType="end"/>
      </w:r>
    </w:p>
    <w:p w14:paraId="46520269">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"_Toc225866366" </w:instrText>
      </w:r>
      <w:r>
        <w:fldChar w:fldCharType="separate"/>
      </w:r>
      <w:r>
        <w:rPr>
          <w:rStyle w:val="15"/>
        </w:rPr>
        <w:t>4.10 Учет доступности коечного фонда</w:t>
      </w:r>
      <w:r>
        <w:tab/>
      </w:r>
      <w:r>
        <w:fldChar w:fldCharType="begin"/>
      </w:r>
      <w:r>
        <w:instrText xml:space="preserve"> PAGEREF _Toc225866366 \h </w:instrText>
      </w:r>
      <w:r>
        <w:fldChar w:fldCharType="separate"/>
      </w:r>
      <w:r>
        <w:t>114</w:t>
      </w:r>
      <w:r>
        <w:fldChar w:fldCharType="end"/>
      </w:r>
      <w:r>
        <w:fldChar w:fldCharType="end"/>
      </w:r>
    </w:p>
    <w:p w14:paraId="53333E13">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"_Toc225866367" </w:instrText>
      </w:r>
      <w:r>
        <w:fldChar w:fldCharType="separate"/>
      </w:r>
      <w:r>
        <w:rPr>
          <w:rStyle w:val="15"/>
        </w:rPr>
        <w:t>4.10.1 Просмотр сведений по учету коечного фонда на заданную дату</w:t>
      </w:r>
      <w:r>
        <w:tab/>
      </w:r>
      <w:r>
        <w:fldChar w:fldCharType="begin"/>
      </w:r>
      <w:r>
        <w:instrText xml:space="preserve"> PAGEREF _Toc225866367 \h </w:instrText>
      </w:r>
      <w:r>
        <w:fldChar w:fldCharType="separate"/>
      </w:r>
      <w:r>
        <w:t>116</w:t>
      </w:r>
      <w:r>
        <w:fldChar w:fldCharType="end"/>
      </w:r>
      <w:r>
        <w:fldChar w:fldCharType="end"/>
      </w:r>
    </w:p>
    <w:p w14:paraId="6FE14720">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"_Toc225866368" </w:instrText>
      </w:r>
      <w:r>
        <w:fldChar w:fldCharType="separate"/>
      </w:r>
      <w:r>
        <w:rPr>
          <w:rStyle w:val="15"/>
        </w:rPr>
        <w:t>4.10.2 Формирование отчета о доступности коечного фонда на заданную дату</w:t>
      </w:r>
      <w:r>
        <w:tab/>
      </w:r>
      <w:r>
        <w:fldChar w:fldCharType="begin"/>
      </w:r>
      <w:r>
        <w:instrText xml:space="preserve"> PAGEREF _Toc225866368 \h </w:instrText>
      </w:r>
      <w:r>
        <w:fldChar w:fldCharType="separate"/>
      </w:r>
      <w:r>
        <w:t>121</w:t>
      </w:r>
      <w:r>
        <w:fldChar w:fldCharType="end"/>
      </w:r>
      <w:r>
        <w:fldChar w:fldCharType="end"/>
      </w:r>
    </w:p>
    <w:p w14:paraId="307289DE">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"_Toc225866369" </w:instrText>
      </w:r>
      <w:r>
        <w:fldChar w:fldCharType="separate"/>
      </w:r>
      <w:r>
        <w:rPr>
          <w:rStyle w:val="15"/>
        </w:rPr>
        <w:t>4.10.3 Просмотр сведений об обороте коечного фонда за период</w:t>
      </w:r>
      <w:r>
        <w:tab/>
      </w:r>
      <w:r>
        <w:fldChar w:fldCharType="begin"/>
      </w:r>
      <w:r>
        <w:instrText xml:space="preserve"> PAGEREF _Toc225866369 \h </w:instrText>
      </w:r>
      <w:r>
        <w:fldChar w:fldCharType="separate"/>
      </w:r>
      <w:r>
        <w:t>123</w:t>
      </w:r>
      <w:r>
        <w:fldChar w:fldCharType="end"/>
      </w:r>
      <w:r>
        <w:fldChar w:fldCharType="end"/>
      </w:r>
    </w:p>
    <w:p w14:paraId="351FCB36">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"_Toc225866370" </w:instrText>
      </w:r>
      <w:r>
        <w:fldChar w:fldCharType="separate"/>
      </w:r>
      <w:r>
        <w:rPr>
          <w:rStyle w:val="15"/>
        </w:rPr>
        <w:t>4.10.4 Просмотр сведений по планируемым показателям свободных мест</w:t>
      </w:r>
      <w:r>
        <w:tab/>
      </w:r>
      <w:r>
        <w:fldChar w:fldCharType="begin"/>
      </w:r>
      <w:r>
        <w:instrText xml:space="preserve"> PAGEREF _Toc225866370 \h </w:instrText>
      </w:r>
      <w:r>
        <w:fldChar w:fldCharType="separate"/>
      </w:r>
      <w:r>
        <w:t>128</w:t>
      </w:r>
      <w:r>
        <w:fldChar w:fldCharType="end"/>
      </w:r>
      <w:r>
        <w:fldChar w:fldCharType="end"/>
      </w:r>
    </w:p>
    <w:p w14:paraId="1FC3ADFC">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"_Toc225866371" </w:instrText>
      </w:r>
      <w:r>
        <w:fldChar w:fldCharType="separate"/>
      </w:r>
      <w:r>
        <w:rPr>
          <w:rStyle w:val="15"/>
        </w:rPr>
        <w:t>4.10.5 Просмотр данных коечного фонда в графическом виде</w:t>
      </w:r>
      <w:r>
        <w:tab/>
      </w:r>
      <w:r>
        <w:fldChar w:fldCharType="begin"/>
      </w:r>
      <w:r>
        <w:instrText xml:space="preserve"> PAGEREF _Toc225866371 \h </w:instrText>
      </w:r>
      <w:r>
        <w:fldChar w:fldCharType="separate"/>
      </w:r>
      <w:r>
        <w:t>132</w:t>
      </w:r>
      <w:r>
        <w:fldChar w:fldCharType="end"/>
      </w:r>
      <w:r>
        <w:fldChar w:fldCharType="end"/>
      </w:r>
    </w:p>
    <w:p w14:paraId="30F66E72">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"_Toc225866372" </w:instrText>
      </w:r>
      <w:r>
        <w:fldChar w:fldCharType="separate"/>
      </w:r>
      <w:r>
        <w:rPr>
          <w:rStyle w:val="15"/>
        </w:rPr>
        <w:t>4.11 Просмотр сведений организационно-штатной структуры МО по данным ФРМО и ФРМР</w:t>
      </w:r>
      <w:r>
        <w:tab/>
      </w:r>
      <w:r>
        <w:fldChar w:fldCharType="begin"/>
      </w:r>
      <w:r>
        <w:instrText xml:space="preserve"> PAGEREF _Toc225866372 \h </w:instrText>
      </w:r>
      <w:r>
        <w:fldChar w:fldCharType="separate"/>
      </w:r>
      <w:r>
        <w:t>146</w:t>
      </w:r>
      <w:r>
        <w:fldChar w:fldCharType="end"/>
      </w:r>
      <w:r>
        <w:fldChar w:fldCharType="end"/>
      </w:r>
    </w:p>
    <w:p w14:paraId="78F7D358">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"_Toc225866373" </w:instrText>
      </w:r>
      <w:r>
        <w:fldChar w:fldCharType="separate"/>
      </w:r>
      <w:r>
        <w:rPr>
          <w:rStyle w:val="15"/>
        </w:rPr>
        <w:t>4.11.1 Просмотр сведений о медицинской организации и медицинских работниках</w:t>
      </w:r>
      <w:r>
        <w:tab/>
      </w:r>
      <w:r>
        <w:fldChar w:fldCharType="begin"/>
      </w:r>
      <w:r>
        <w:instrText xml:space="preserve"> PAGEREF _Toc225866373 \h </w:instrText>
      </w:r>
      <w:r>
        <w:fldChar w:fldCharType="separate"/>
      </w:r>
      <w:r>
        <w:t>146</w:t>
      </w:r>
      <w:r>
        <w:fldChar w:fldCharType="end"/>
      </w:r>
      <w:r>
        <w:fldChar w:fldCharType="end"/>
      </w:r>
    </w:p>
    <w:p w14:paraId="5673BF31">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"_Toc225866374" </w:instrText>
      </w:r>
      <w:r>
        <w:fldChar w:fldCharType="separate"/>
      </w:r>
      <w:r>
        <w:rPr>
          <w:rStyle w:val="15"/>
          <w:lang w:eastAsia="en-US"/>
        </w:rPr>
        <w:t>4.11.2 Просмотр сведений о медицинских организациях</w:t>
      </w:r>
      <w:r>
        <w:tab/>
      </w:r>
      <w:r>
        <w:fldChar w:fldCharType="begin"/>
      </w:r>
      <w:r>
        <w:instrText xml:space="preserve"> PAGEREF _Toc225866374 \h </w:instrText>
      </w:r>
      <w:r>
        <w:fldChar w:fldCharType="separate"/>
      </w:r>
      <w:r>
        <w:t>146</w:t>
      </w:r>
      <w:r>
        <w:fldChar w:fldCharType="end"/>
      </w:r>
      <w:r>
        <w:fldChar w:fldCharType="end"/>
      </w:r>
    </w:p>
    <w:p w14:paraId="317AAE1E">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"_Toc225866375" </w:instrText>
      </w:r>
      <w:r>
        <w:fldChar w:fldCharType="separate"/>
      </w:r>
      <w:r>
        <w:rPr>
          <w:rStyle w:val="15"/>
        </w:rPr>
        <w:t>4.11.3</w:t>
      </w:r>
      <w:r>
        <w:rPr>
          <w:rStyle w:val="15"/>
          <w:lang w:eastAsia="en-US"/>
        </w:rPr>
        <w:t xml:space="preserve"> Просмотр сведений о </w:t>
      </w:r>
      <w:r>
        <w:rPr>
          <w:rStyle w:val="15"/>
        </w:rPr>
        <w:t>структурных подразделениях</w:t>
      </w:r>
      <w:r>
        <w:tab/>
      </w:r>
      <w:r>
        <w:fldChar w:fldCharType="begin"/>
      </w:r>
      <w:r>
        <w:instrText xml:space="preserve"> PAGEREF _Toc225866375 \h </w:instrText>
      </w:r>
      <w:r>
        <w:fldChar w:fldCharType="separate"/>
      </w:r>
      <w:r>
        <w:t>149</w:t>
      </w:r>
      <w:r>
        <w:fldChar w:fldCharType="end"/>
      </w:r>
      <w:r>
        <w:fldChar w:fldCharType="end"/>
      </w:r>
    </w:p>
    <w:p w14:paraId="4A767D47">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"_Toc225866376" </w:instrText>
      </w:r>
      <w:r>
        <w:fldChar w:fldCharType="separate"/>
      </w:r>
      <w:r>
        <w:rPr>
          <w:rStyle w:val="15"/>
        </w:rPr>
        <w:t>4.11.4</w:t>
      </w:r>
      <w:r>
        <w:rPr>
          <w:rStyle w:val="15"/>
          <w:lang w:eastAsia="en-US"/>
        </w:rPr>
        <w:t xml:space="preserve"> Просмотр сведений об </w:t>
      </w:r>
      <w:r>
        <w:rPr>
          <w:rStyle w:val="15"/>
        </w:rPr>
        <w:t>отделениях и кабинетах</w:t>
      </w:r>
      <w:r>
        <w:tab/>
      </w:r>
      <w:r>
        <w:fldChar w:fldCharType="begin"/>
      </w:r>
      <w:r>
        <w:instrText xml:space="preserve"> PAGEREF _Toc225866376 \h </w:instrText>
      </w:r>
      <w:r>
        <w:fldChar w:fldCharType="separate"/>
      </w:r>
      <w:r>
        <w:t>150</w:t>
      </w:r>
      <w:r>
        <w:fldChar w:fldCharType="end"/>
      </w:r>
      <w:r>
        <w:fldChar w:fldCharType="end"/>
      </w:r>
    </w:p>
    <w:p w14:paraId="3EB0F877">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"_Toc225866377" </w:instrText>
      </w:r>
      <w:r>
        <w:fldChar w:fldCharType="separate"/>
      </w:r>
      <w:r>
        <w:rPr>
          <w:rStyle w:val="15"/>
        </w:rPr>
        <w:t>4.11.5</w:t>
      </w:r>
      <w:r>
        <w:rPr>
          <w:rStyle w:val="15"/>
          <w:lang w:eastAsia="en-US"/>
        </w:rPr>
        <w:t xml:space="preserve"> Просмотр сведений о </w:t>
      </w:r>
      <w:r>
        <w:rPr>
          <w:rStyle w:val="15"/>
        </w:rPr>
        <w:t>занятости медицинских работников</w:t>
      </w:r>
      <w:r>
        <w:tab/>
      </w:r>
      <w:r>
        <w:fldChar w:fldCharType="begin"/>
      </w:r>
      <w:r>
        <w:instrText xml:space="preserve"> PAGEREF _Toc225866377 \h </w:instrText>
      </w:r>
      <w:r>
        <w:fldChar w:fldCharType="separate"/>
      </w:r>
      <w:r>
        <w:t>152</w:t>
      </w:r>
      <w:r>
        <w:fldChar w:fldCharType="end"/>
      </w:r>
      <w:r>
        <w:fldChar w:fldCharType="end"/>
      </w:r>
    </w:p>
    <w:p w14:paraId="2638C7BF">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"_Toc225866378" </w:instrText>
      </w:r>
      <w:r>
        <w:fldChar w:fldCharType="separate"/>
      </w:r>
      <w:r>
        <w:rPr>
          <w:rStyle w:val="15"/>
        </w:rPr>
        <w:t>4.12 Формирование и просмотр отчетов по фактически оказанным объемам медицинской помощи</w:t>
      </w:r>
      <w:r>
        <w:tab/>
      </w:r>
      <w:r>
        <w:fldChar w:fldCharType="begin"/>
      </w:r>
      <w:r>
        <w:instrText xml:space="preserve"> PAGEREF _Toc225866378 \h </w:instrText>
      </w:r>
      <w:r>
        <w:fldChar w:fldCharType="separate"/>
      </w:r>
      <w:r>
        <w:t>155</w:t>
      </w:r>
      <w:r>
        <w:fldChar w:fldCharType="end"/>
      </w:r>
      <w:r>
        <w:fldChar w:fldCharType="end"/>
      </w:r>
    </w:p>
    <w:p w14:paraId="6B53AE0B">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"_Toc225866379" </w:instrText>
      </w:r>
      <w:r>
        <w:fldChar w:fldCharType="separate"/>
      </w:r>
      <w:r>
        <w:rPr>
          <w:rStyle w:val="15"/>
        </w:rPr>
        <w:t>4.12.1 Поиск и просмотр сформированных отчетов «План-Факт» и «Факт за месяц»</w:t>
      </w:r>
      <w:r>
        <w:tab/>
      </w:r>
      <w:r>
        <w:fldChar w:fldCharType="begin"/>
      </w:r>
      <w:r>
        <w:instrText xml:space="preserve"> PAGEREF _Toc225866379 \h </w:instrText>
      </w:r>
      <w:r>
        <w:fldChar w:fldCharType="separate"/>
      </w:r>
      <w:r>
        <w:t>156</w:t>
      </w:r>
      <w:r>
        <w:fldChar w:fldCharType="end"/>
      </w:r>
      <w:r>
        <w:fldChar w:fldCharType="end"/>
      </w:r>
    </w:p>
    <w:p w14:paraId="0448DD07">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"_Toc225866380" </w:instrText>
      </w:r>
      <w:r>
        <w:fldChar w:fldCharType="separate"/>
      </w:r>
      <w:r>
        <w:rPr>
          <w:rStyle w:val="15"/>
        </w:rPr>
        <w:t>4.12.2 Формирование отчетов «План-Факт» и «Факт за месяц»</w:t>
      </w:r>
      <w:r>
        <w:tab/>
      </w:r>
      <w:r>
        <w:fldChar w:fldCharType="begin"/>
      </w:r>
      <w:r>
        <w:instrText xml:space="preserve"> PAGEREF _Toc225866380 \h </w:instrText>
      </w:r>
      <w:r>
        <w:fldChar w:fldCharType="separate"/>
      </w:r>
      <w:r>
        <w:t>159</w:t>
      </w:r>
      <w:r>
        <w:fldChar w:fldCharType="end"/>
      </w:r>
      <w:r>
        <w:fldChar w:fldCharType="end"/>
      </w:r>
    </w:p>
    <w:p w14:paraId="7A5400EC">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"_Toc225866381" </w:instrText>
      </w:r>
      <w:r>
        <w:fldChar w:fldCharType="separate"/>
      </w:r>
      <w:r>
        <w:rPr>
          <w:rStyle w:val="15"/>
        </w:rPr>
        <w:t>4.12.3 Поиск и просмотр отчетов по Приказам ФОМС</w:t>
      </w:r>
      <w:r>
        <w:tab/>
      </w:r>
      <w:r>
        <w:fldChar w:fldCharType="begin"/>
      </w:r>
      <w:r>
        <w:instrText xml:space="preserve"> PAGEREF _Toc225866381 \h </w:instrText>
      </w:r>
      <w:r>
        <w:fldChar w:fldCharType="separate"/>
      </w:r>
      <w:r>
        <w:t>161</w:t>
      </w:r>
      <w:r>
        <w:fldChar w:fldCharType="end"/>
      </w:r>
      <w:r>
        <w:fldChar w:fldCharType="end"/>
      </w:r>
    </w:p>
    <w:p w14:paraId="03B46476">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"_Toc225866382" </w:instrText>
      </w:r>
      <w:r>
        <w:fldChar w:fldCharType="separate"/>
      </w:r>
      <w:r>
        <w:rPr>
          <w:rStyle w:val="15"/>
        </w:rPr>
        <w:t>4.12.4 Запрос на формирование отчетов по Приказам ФОМС</w:t>
      </w:r>
      <w:r>
        <w:tab/>
      </w:r>
      <w:r>
        <w:fldChar w:fldCharType="begin"/>
      </w:r>
      <w:r>
        <w:instrText xml:space="preserve"> PAGEREF _Toc225866382 \h </w:instrText>
      </w:r>
      <w:r>
        <w:fldChar w:fldCharType="separate"/>
      </w:r>
      <w:r>
        <w:t>164</w:t>
      </w:r>
      <w:r>
        <w:fldChar w:fldCharType="end"/>
      </w:r>
      <w:r>
        <w:fldChar w:fldCharType="end"/>
      </w:r>
    </w:p>
    <w:p w14:paraId="3A7EA6C2">
      <w:pPr>
        <w:pStyle w:val="25"/>
        <w:rPr>
          <w:rFonts w:asciiTheme="minorHAnsi" w:hAnsiTheme="minorHAnsi" w:eastAsiaTheme="minorEastAsia" w:cstheme="minorBidi"/>
          <w:bCs w:val="0"/>
          <w:iCs w:val="0"/>
          <w:kern w:val="2"/>
          <w:lang w:val="ru-RU"/>
          <w14:ligatures w14:val="standardContextual"/>
        </w:rPr>
      </w:pPr>
      <w:r>
        <w:fldChar w:fldCharType="begin"/>
      </w:r>
      <w:r>
        <w:instrText xml:space="preserve"> HYPERLINK \l "_Toc225866383" </w:instrText>
      </w:r>
      <w:r>
        <w:fldChar w:fldCharType="separate"/>
      </w:r>
      <w:r>
        <w:rPr>
          <w:rStyle w:val="15"/>
        </w:rPr>
        <w:t>5 Аварийные ситуации</w:t>
      </w:r>
      <w:r>
        <w:tab/>
      </w:r>
      <w:r>
        <w:fldChar w:fldCharType="begin"/>
      </w:r>
      <w:r>
        <w:instrText xml:space="preserve"> PAGEREF _Toc225866383 \h </w:instrText>
      </w:r>
      <w:r>
        <w:fldChar w:fldCharType="separate"/>
      </w:r>
      <w:r>
        <w:t>166</w:t>
      </w:r>
      <w:r>
        <w:fldChar w:fldCharType="end"/>
      </w:r>
      <w:r>
        <w:fldChar w:fldCharType="end"/>
      </w:r>
    </w:p>
    <w:p w14:paraId="27D03A8B">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"_Toc225866384" </w:instrText>
      </w:r>
      <w:r>
        <w:fldChar w:fldCharType="separate"/>
      </w:r>
      <w:r>
        <w:rPr>
          <w:rStyle w:val="15"/>
        </w:rPr>
        <w:t>5.1 Сообщения, выдаваемые подсистемой</w:t>
      </w:r>
      <w:r>
        <w:tab/>
      </w:r>
      <w:r>
        <w:fldChar w:fldCharType="begin"/>
      </w:r>
      <w:r>
        <w:instrText xml:space="preserve"> PAGEREF _Toc225866384 \h </w:instrText>
      </w:r>
      <w:r>
        <w:fldChar w:fldCharType="separate"/>
      </w:r>
      <w:r>
        <w:t>166</w:t>
      </w:r>
      <w:r>
        <w:fldChar w:fldCharType="end"/>
      </w:r>
      <w:r>
        <w:fldChar w:fldCharType="end"/>
      </w:r>
    </w:p>
    <w:p w14:paraId="7A62A6B5">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"_Toc225866385" </w:instrText>
      </w:r>
      <w:r>
        <w:fldChar w:fldCharType="separate"/>
      </w:r>
      <w:r>
        <w:rPr>
          <w:rStyle w:val="15"/>
        </w:rPr>
        <w:t>5.2 Отсутствие соединения с ЗСПД</w:t>
      </w:r>
      <w:r>
        <w:tab/>
      </w:r>
      <w:r>
        <w:fldChar w:fldCharType="begin"/>
      </w:r>
      <w:r>
        <w:instrText xml:space="preserve"> PAGEREF _Toc225866385 \h </w:instrText>
      </w:r>
      <w:r>
        <w:fldChar w:fldCharType="separate"/>
      </w:r>
      <w:r>
        <w:t>166</w:t>
      </w:r>
      <w:r>
        <w:fldChar w:fldCharType="end"/>
      </w:r>
      <w:r>
        <w:fldChar w:fldCharType="end"/>
      </w:r>
    </w:p>
    <w:p w14:paraId="35A26125">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"_Toc225866386" </w:instrText>
      </w:r>
      <w:r>
        <w:fldChar w:fldCharType="separate"/>
      </w:r>
      <w:r>
        <w:rPr>
          <w:rStyle w:val="15"/>
        </w:rPr>
        <w:t>5.3 Отказ при входе в подсистему</w:t>
      </w:r>
      <w:r>
        <w:tab/>
      </w:r>
      <w:r>
        <w:fldChar w:fldCharType="begin"/>
      </w:r>
      <w:r>
        <w:instrText xml:space="preserve"> PAGEREF _Toc225866386 \h </w:instrText>
      </w:r>
      <w:r>
        <w:fldChar w:fldCharType="separate"/>
      </w:r>
      <w:r>
        <w:t>166</w:t>
      </w:r>
      <w:r>
        <w:fldChar w:fldCharType="end"/>
      </w:r>
      <w:r>
        <w:fldChar w:fldCharType="end"/>
      </w:r>
    </w:p>
    <w:p w14:paraId="317597CB">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"_Toc225866387" </w:instrText>
      </w:r>
      <w:r>
        <w:fldChar w:fldCharType="separate"/>
      </w:r>
      <w:r>
        <w:rPr>
          <w:rStyle w:val="15"/>
        </w:rPr>
        <w:t>5.4 Прерывание сессии связи</w:t>
      </w:r>
      <w:r>
        <w:tab/>
      </w:r>
      <w:r>
        <w:fldChar w:fldCharType="begin"/>
      </w:r>
      <w:r>
        <w:instrText xml:space="preserve"> PAGEREF _Toc225866387 \h </w:instrText>
      </w:r>
      <w:r>
        <w:fldChar w:fldCharType="separate"/>
      </w:r>
      <w:r>
        <w:t>167</w:t>
      </w:r>
      <w:r>
        <w:fldChar w:fldCharType="end"/>
      </w:r>
      <w:r>
        <w:fldChar w:fldCharType="end"/>
      </w:r>
    </w:p>
    <w:p w14:paraId="074D07F0">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"_Toc225866388" </w:instrText>
      </w:r>
      <w:r>
        <w:fldChar w:fldCharType="separate"/>
      </w:r>
      <w:r>
        <w:rPr>
          <w:rStyle w:val="15"/>
        </w:rPr>
        <w:t>5.5 Отказ АРМ пользователя</w:t>
      </w:r>
      <w:r>
        <w:tab/>
      </w:r>
      <w:r>
        <w:fldChar w:fldCharType="begin"/>
      </w:r>
      <w:r>
        <w:instrText xml:space="preserve"> PAGEREF _Toc225866388 \h </w:instrText>
      </w:r>
      <w:r>
        <w:fldChar w:fldCharType="separate"/>
      </w:r>
      <w:r>
        <w:t>167</w:t>
      </w:r>
      <w:r>
        <w:fldChar w:fldCharType="end"/>
      </w:r>
      <w:r>
        <w:fldChar w:fldCharType="end"/>
      </w:r>
    </w:p>
    <w:p w14:paraId="313636B7">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"_Toc225866389" </w:instrText>
      </w:r>
      <w:r>
        <w:fldChar w:fldCharType="separate"/>
      </w:r>
      <w:r>
        <w:rPr>
          <w:rStyle w:val="15"/>
        </w:rPr>
        <w:t>5.6 Сбой функционирования веб-браузера</w:t>
      </w:r>
      <w:r>
        <w:tab/>
      </w:r>
      <w:r>
        <w:fldChar w:fldCharType="begin"/>
      </w:r>
      <w:r>
        <w:instrText xml:space="preserve"> PAGEREF _Toc225866389 \h </w:instrText>
      </w:r>
      <w:r>
        <w:fldChar w:fldCharType="separate"/>
      </w:r>
      <w:r>
        <w:t>167</w:t>
      </w:r>
      <w:r>
        <w:fldChar w:fldCharType="end"/>
      </w:r>
      <w:r>
        <w:fldChar w:fldCharType="end"/>
      </w:r>
    </w:p>
    <w:p w14:paraId="07DDCA9F">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"_Toc225866390" </w:instrText>
      </w:r>
      <w:r>
        <w:fldChar w:fldCharType="separate"/>
      </w:r>
      <w:r>
        <w:rPr>
          <w:rStyle w:val="15"/>
        </w:rPr>
        <w:t>5.7 Потеря данных подсистемы</w:t>
      </w:r>
      <w:r>
        <w:tab/>
      </w:r>
      <w:r>
        <w:fldChar w:fldCharType="begin"/>
      </w:r>
      <w:r>
        <w:instrText xml:space="preserve"> PAGEREF _Toc225866390 \h </w:instrText>
      </w:r>
      <w:r>
        <w:fldChar w:fldCharType="separate"/>
      </w:r>
      <w:r>
        <w:t>168</w:t>
      </w:r>
      <w:r>
        <w:fldChar w:fldCharType="end"/>
      </w:r>
      <w:r>
        <w:fldChar w:fldCharType="end"/>
      </w:r>
    </w:p>
    <w:p w14:paraId="62B2FBD1">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"_Toc225866391" </w:instrText>
      </w:r>
      <w:r>
        <w:fldChar w:fldCharType="separate"/>
      </w:r>
      <w:r>
        <w:rPr>
          <w:rStyle w:val="15"/>
        </w:rPr>
        <w:t>5.8 Действия в случаях обнаружения несанкционированного доступа к данным</w:t>
      </w:r>
      <w:r>
        <w:tab/>
      </w:r>
      <w:r>
        <w:fldChar w:fldCharType="begin"/>
      </w:r>
      <w:r>
        <w:instrText xml:space="preserve"> PAGEREF _Toc225866391 \h </w:instrText>
      </w:r>
      <w:r>
        <w:fldChar w:fldCharType="separate"/>
      </w:r>
      <w:r>
        <w:t>168</w:t>
      </w:r>
      <w:r>
        <w:fldChar w:fldCharType="end"/>
      </w:r>
      <w:r>
        <w:fldChar w:fldCharType="end"/>
      </w:r>
    </w:p>
    <w:p w14:paraId="07737AC3">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"_Toc225866392" </w:instrText>
      </w:r>
      <w:r>
        <w:fldChar w:fldCharType="separate"/>
      </w:r>
      <w:r>
        <w:rPr>
          <w:rStyle w:val="15"/>
        </w:rPr>
        <w:t>5.9 Другие аварийные ситуации</w:t>
      </w:r>
      <w:r>
        <w:tab/>
      </w:r>
      <w:r>
        <w:fldChar w:fldCharType="begin"/>
      </w:r>
      <w:r>
        <w:instrText xml:space="preserve"> PAGEREF _Toc225866392 \h </w:instrText>
      </w:r>
      <w:r>
        <w:fldChar w:fldCharType="separate"/>
      </w:r>
      <w:r>
        <w:t>168</w:t>
      </w:r>
      <w:r>
        <w:fldChar w:fldCharType="end"/>
      </w:r>
      <w:r>
        <w:fldChar w:fldCharType="end"/>
      </w:r>
    </w:p>
    <w:p w14:paraId="74394BA6">
      <w:pPr>
        <w:pStyle w:val="25"/>
        <w:rPr>
          <w:rFonts w:asciiTheme="minorHAnsi" w:hAnsiTheme="minorHAnsi" w:eastAsiaTheme="minorEastAsia" w:cstheme="minorBidi"/>
          <w:bCs w:val="0"/>
          <w:iCs w:val="0"/>
          <w:kern w:val="2"/>
          <w:lang w:val="ru-RU"/>
          <w14:ligatures w14:val="standardContextual"/>
        </w:rPr>
      </w:pPr>
      <w:r>
        <w:fldChar w:fldCharType="begin"/>
      </w:r>
      <w:r>
        <w:instrText xml:space="preserve"> HYPERLINK \l "_Toc225866393" </w:instrText>
      </w:r>
      <w:r>
        <w:fldChar w:fldCharType="separate"/>
      </w:r>
      <w:r>
        <w:rPr>
          <w:rStyle w:val="15"/>
        </w:rPr>
        <w:t>6 Рекомендации по освоению</w:t>
      </w:r>
      <w:r>
        <w:tab/>
      </w:r>
      <w:r>
        <w:fldChar w:fldCharType="begin"/>
      </w:r>
      <w:r>
        <w:instrText xml:space="preserve"> PAGEREF _Toc225866393 \h </w:instrText>
      </w:r>
      <w:r>
        <w:fldChar w:fldCharType="separate"/>
      </w:r>
      <w:r>
        <w:t>169</w:t>
      </w:r>
      <w:r>
        <w:fldChar w:fldCharType="end"/>
      </w:r>
      <w:r>
        <w:fldChar w:fldCharType="end"/>
      </w:r>
    </w:p>
    <w:p w14:paraId="55182414">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"_Toc225866394" </w:instrText>
      </w:r>
      <w:r>
        <w:fldChar w:fldCharType="separate"/>
      </w:r>
      <w:r>
        <w:rPr>
          <w:rStyle w:val="15"/>
        </w:rPr>
        <w:t>6.1 Контрольный пример</w:t>
      </w:r>
      <w:r>
        <w:tab/>
      </w:r>
      <w:r>
        <w:fldChar w:fldCharType="begin"/>
      </w:r>
      <w:r>
        <w:instrText xml:space="preserve"> PAGEREF _Toc225866394 \h </w:instrText>
      </w:r>
      <w:r>
        <w:fldChar w:fldCharType="separate"/>
      </w:r>
      <w:r>
        <w:t>169</w:t>
      </w:r>
      <w:r>
        <w:fldChar w:fldCharType="end"/>
      </w:r>
      <w:r>
        <w:fldChar w:fldCharType="end"/>
      </w:r>
    </w:p>
    <w:p w14:paraId="1A2CE803">
      <w:pPr>
        <w:pStyle w:val="25"/>
        <w:rPr>
          <w:rFonts w:asciiTheme="minorHAnsi" w:hAnsiTheme="minorHAnsi" w:eastAsiaTheme="minorEastAsia" w:cstheme="minorBidi"/>
          <w:bCs w:val="0"/>
          <w:iCs w:val="0"/>
          <w:kern w:val="2"/>
          <w:lang w:val="ru-RU"/>
          <w14:ligatures w14:val="standardContextual"/>
        </w:rPr>
      </w:pPr>
      <w:r>
        <w:fldChar w:fldCharType="begin"/>
      </w:r>
      <w:r>
        <w:instrText xml:space="preserve"> HYPERLINK \l "_Toc225866395" </w:instrText>
      </w:r>
      <w:r>
        <w:fldChar w:fldCharType="separate"/>
      </w:r>
      <w:r>
        <w:rPr>
          <w:rStyle w:val="15"/>
        </w:rPr>
        <w:t>7 Порядок обращения в службу технической поддержи</w:t>
      </w:r>
      <w:r>
        <w:tab/>
      </w:r>
      <w:r>
        <w:fldChar w:fldCharType="begin"/>
      </w:r>
      <w:r>
        <w:instrText xml:space="preserve"> PAGEREF _Toc225866395 \h </w:instrText>
      </w:r>
      <w:r>
        <w:fldChar w:fldCharType="separate"/>
      </w:r>
      <w:r>
        <w:t>172</w:t>
      </w:r>
      <w:r>
        <w:fldChar w:fldCharType="end"/>
      </w:r>
      <w:r>
        <w:fldChar w:fldCharType="end"/>
      </w:r>
    </w:p>
    <w:p w14:paraId="47CD7F46">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"_Toc225866396" </w:instrText>
      </w:r>
      <w:r>
        <w:fldChar w:fldCharType="separate"/>
      </w:r>
      <w:r>
        <w:rPr>
          <w:rStyle w:val="15"/>
        </w:rPr>
        <w:t>7.1 Средства обращения в службу технической поддержи</w:t>
      </w:r>
      <w:r>
        <w:tab/>
      </w:r>
      <w:r>
        <w:fldChar w:fldCharType="begin"/>
      </w:r>
      <w:r>
        <w:instrText xml:space="preserve"> PAGEREF _Toc225866396 \h </w:instrText>
      </w:r>
      <w:r>
        <w:fldChar w:fldCharType="separate"/>
      </w:r>
      <w:r>
        <w:t>172</w:t>
      </w:r>
      <w:r>
        <w:fldChar w:fldCharType="end"/>
      </w:r>
      <w:r>
        <w:fldChar w:fldCharType="end"/>
      </w:r>
    </w:p>
    <w:p w14:paraId="31988582">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"_Toc225866397" </w:instrText>
      </w:r>
      <w:r>
        <w:fldChar w:fldCharType="separate"/>
      </w:r>
      <w:r>
        <w:rPr>
          <w:rStyle w:val="15"/>
        </w:rPr>
        <w:t>7.2 Направление обращения с использованием СУЗ</w:t>
      </w:r>
      <w:r>
        <w:tab/>
      </w:r>
      <w:r>
        <w:fldChar w:fldCharType="begin"/>
      </w:r>
      <w:r>
        <w:instrText xml:space="preserve"> PAGEREF _Toc225866397 \h </w:instrText>
      </w:r>
      <w:r>
        <w:fldChar w:fldCharType="separate"/>
      </w:r>
      <w:r>
        <w:t>172</w:t>
      </w:r>
      <w:r>
        <w:fldChar w:fldCharType="end"/>
      </w:r>
      <w:r>
        <w:fldChar w:fldCharType="end"/>
      </w:r>
    </w:p>
    <w:p w14:paraId="4346A757">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"_Toc225866398" </w:instrText>
      </w:r>
      <w:r>
        <w:fldChar w:fldCharType="separate"/>
      </w:r>
      <w:r>
        <w:rPr>
          <w:rStyle w:val="15"/>
        </w:rPr>
        <w:t>7.2.1 Вход в СУЗ</w:t>
      </w:r>
      <w:r>
        <w:tab/>
      </w:r>
      <w:r>
        <w:fldChar w:fldCharType="begin"/>
      </w:r>
      <w:r>
        <w:instrText xml:space="preserve"> PAGEREF _Toc225866398 \h </w:instrText>
      </w:r>
      <w:r>
        <w:fldChar w:fldCharType="separate"/>
      </w:r>
      <w:r>
        <w:t>172</w:t>
      </w:r>
      <w:r>
        <w:fldChar w:fldCharType="end"/>
      </w:r>
      <w:r>
        <w:fldChar w:fldCharType="end"/>
      </w:r>
    </w:p>
    <w:p w14:paraId="088E89A7">
      <w:pPr>
        <w:pStyle w:val="27"/>
        <w:rPr>
          <w:rFonts w:asciiTheme="minorHAnsi" w:hAnsiTheme="minorHAnsi" w:eastAsiaTheme="minorEastAsia" w:cstheme="minorBidi"/>
          <w:iCs w:val="0"/>
          <w:kern w:val="2"/>
          <w:lang w:val="ru-RU"/>
          <w14:ligatures w14:val="standardContextual"/>
        </w:rPr>
      </w:pPr>
      <w:r>
        <w:fldChar w:fldCharType="begin"/>
      </w:r>
      <w:r>
        <w:instrText xml:space="preserve"> HYPERLINK \l "_Toc225866399" </w:instrText>
      </w:r>
      <w:r>
        <w:fldChar w:fldCharType="separate"/>
      </w:r>
      <w:r>
        <w:rPr>
          <w:rStyle w:val="15"/>
        </w:rPr>
        <w:t>7.2.2 Создание нового обращения (заявки)</w:t>
      </w:r>
      <w:r>
        <w:tab/>
      </w:r>
      <w:r>
        <w:fldChar w:fldCharType="begin"/>
      </w:r>
      <w:r>
        <w:instrText xml:space="preserve"> PAGEREF _Toc225866399 \h </w:instrText>
      </w:r>
      <w:r>
        <w:fldChar w:fldCharType="separate"/>
      </w:r>
      <w:r>
        <w:t>172</w:t>
      </w:r>
      <w:r>
        <w:fldChar w:fldCharType="end"/>
      </w:r>
      <w:r>
        <w:fldChar w:fldCharType="end"/>
      </w:r>
    </w:p>
    <w:p w14:paraId="5F43855C">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"_Toc225866400" </w:instrText>
      </w:r>
      <w:r>
        <w:fldChar w:fldCharType="separate"/>
      </w:r>
      <w:r>
        <w:rPr>
          <w:rStyle w:val="15"/>
        </w:rPr>
        <w:t>7.3 Соблюдение этических норм</w:t>
      </w:r>
      <w:r>
        <w:tab/>
      </w:r>
      <w:r>
        <w:fldChar w:fldCharType="begin"/>
      </w:r>
      <w:r>
        <w:instrText xml:space="preserve"> PAGEREF _Toc225866400 \h </w:instrText>
      </w:r>
      <w:r>
        <w:fldChar w:fldCharType="separate"/>
      </w:r>
      <w:r>
        <w:t>173</w:t>
      </w:r>
      <w:r>
        <w:fldChar w:fldCharType="end"/>
      </w:r>
      <w:r>
        <w:fldChar w:fldCharType="end"/>
      </w:r>
    </w:p>
    <w:p w14:paraId="3C601561">
      <w:pPr>
        <w:pStyle w:val="25"/>
        <w:rPr>
          <w:rFonts w:asciiTheme="minorHAnsi" w:hAnsiTheme="minorHAnsi" w:eastAsiaTheme="minorEastAsia" w:cstheme="minorBidi"/>
          <w:bCs w:val="0"/>
          <w:iCs w:val="0"/>
          <w:kern w:val="2"/>
          <w:lang w:val="ru-RU"/>
          <w14:ligatures w14:val="standardContextual"/>
        </w:rPr>
      </w:pPr>
      <w:r>
        <w:fldChar w:fldCharType="begin"/>
      </w:r>
      <w:r>
        <w:instrText xml:space="preserve"> HYPERLINK \l "_Toc225866401" </w:instrText>
      </w:r>
      <w:r>
        <w:fldChar w:fldCharType="separate"/>
      </w:r>
      <w:r>
        <w:rPr>
          <w:rStyle w:val="15"/>
        </w:rPr>
        <w:t>Приложение А (справочное) Статусы счетов на оплату</w:t>
      </w:r>
      <w:r>
        <w:tab/>
      </w:r>
      <w:r>
        <w:fldChar w:fldCharType="begin"/>
      </w:r>
      <w:r>
        <w:instrText xml:space="preserve"> PAGEREF _Toc225866401 \h </w:instrText>
      </w:r>
      <w:r>
        <w:fldChar w:fldCharType="separate"/>
      </w:r>
      <w:r>
        <w:t>174</w:t>
      </w:r>
      <w:r>
        <w:fldChar w:fldCharType="end"/>
      </w:r>
      <w:r>
        <w:fldChar w:fldCharType="end"/>
      </w:r>
    </w:p>
    <w:p w14:paraId="4D2106D9">
      <w:pPr>
        <w:pStyle w:val="25"/>
        <w:rPr>
          <w:rFonts w:asciiTheme="minorHAnsi" w:hAnsiTheme="minorHAnsi" w:eastAsiaTheme="minorEastAsia" w:cstheme="minorBidi"/>
          <w:bCs w:val="0"/>
          <w:iCs w:val="0"/>
          <w:kern w:val="2"/>
          <w:lang w:val="ru-RU"/>
          <w14:ligatures w14:val="standardContextual"/>
        </w:rPr>
      </w:pPr>
      <w:r>
        <w:fldChar w:fldCharType="begin"/>
      </w:r>
      <w:r>
        <w:instrText xml:space="preserve"> HYPERLINK \l "_Toc225866402" </w:instrText>
      </w:r>
      <w:r>
        <w:fldChar w:fldCharType="separate"/>
      </w:r>
      <w:r>
        <w:rPr>
          <w:rStyle w:val="15"/>
        </w:rPr>
        <w:t>Приложение Б (справочное) Типы счетов</w:t>
      </w:r>
      <w:r>
        <w:tab/>
      </w:r>
      <w:r>
        <w:fldChar w:fldCharType="begin"/>
      </w:r>
      <w:r>
        <w:instrText xml:space="preserve"> PAGEREF _Toc225866402 \h </w:instrText>
      </w:r>
      <w:r>
        <w:fldChar w:fldCharType="separate"/>
      </w:r>
      <w:r>
        <w:t>175</w:t>
      </w:r>
      <w:r>
        <w:fldChar w:fldCharType="end"/>
      </w:r>
      <w:r>
        <w:fldChar w:fldCharType="end"/>
      </w:r>
    </w:p>
    <w:p w14:paraId="0710A028">
      <w:pPr>
        <w:pStyle w:val="25"/>
        <w:rPr>
          <w:rFonts w:asciiTheme="minorHAnsi" w:hAnsiTheme="minorHAnsi" w:eastAsiaTheme="minorEastAsia" w:cstheme="minorBidi"/>
          <w:bCs w:val="0"/>
          <w:iCs w:val="0"/>
          <w:kern w:val="2"/>
          <w:lang w:val="ru-RU"/>
          <w14:ligatures w14:val="standardContextual"/>
        </w:rPr>
      </w:pPr>
      <w:r>
        <w:fldChar w:fldCharType="begin"/>
      </w:r>
      <w:r>
        <w:instrText xml:space="preserve"> HYPERLINK \l "_Toc225866403" </w:instrText>
      </w:r>
      <w:r>
        <w:fldChar w:fldCharType="separate"/>
      </w:r>
      <w:r>
        <w:rPr>
          <w:rStyle w:val="15"/>
        </w:rPr>
        <w:t>Приложение В (справочное) Просмотр файлов формата XML и CSV</w:t>
      </w:r>
      <w:r>
        <w:tab/>
      </w:r>
      <w:r>
        <w:fldChar w:fldCharType="begin"/>
      </w:r>
      <w:r>
        <w:instrText xml:space="preserve"> PAGEREF _Toc225866403 \h </w:instrText>
      </w:r>
      <w:r>
        <w:fldChar w:fldCharType="separate"/>
      </w:r>
      <w:r>
        <w:t>176</w:t>
      </w:r>
      <w:r>
        <w:fldChar w:fldCharType="end"/>
      </w:r>
      <w:r>
        <w:fldChar w:fldCharType="end"/>
      </w:r>
    </w:p>
    <w:p w14:paraId="23DCD289">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"_Toc225866404" </w:instrText>
      </w:r>
      <w:r>
        <w:fldChar w:fldCharType="separate"/>
      </w:r>
      <w:r>
        <w:rPr>
          <w:rStyle w:val="15"/>
          <w14:scene3d w14:prst="orthographicFront">
            <w14:lightRig w14:rig="threePt" w14:dir="t">
              <w14:rot w14:lat="0" w14:lon="0" w14:rev="0"/>
            </w14:lightRig>
          </w14:scene3d>
        </w:rPr>
        <w:t>В.1</w:t>
      </w:r>
      <w:r>
        <w:rPr>
          <w:rStyle w:val="15"/>
        </w:rPr>
        <w:t xml:space="preserve"> Просмотр файлов формата XML</w:t>
      </w:r>
      <w:r>
        <w:tab/>
      </w:r>
      <w:r>
        <w:fldChar w:fldCharType="begin"/>
      </w:r>
      <w:r>
        <w:instrText xml:space="preserve"> PAGEREF _Toc225866404 \h </w:instrText>
      </w:r>
      <w:r>
        <w:fldChar w:fldCharType="separate"/>
      </w:r>
      <w:r>
        <w:t>176</w:t>
      </w:r>
      <w:r>
        <w:fldChar w:fldCharType="end"/>
      </w:r>
      <w:r>
        <w:fldChar w:fldCharType="end"/>
      </w:r>
    </w:p>
    <w:p w14:paraId="6985877E">
      <w:pPr>
        <w:pStyle w:val="28"/>
        <w:rPr>
          <w:rFonts w:asciiTheme="minorHAnsi" w:hAnsiTheme="minorHAnsi" w:eastAsiaTheme="minorEastAsia" w:cstheme="minorBidi"/>
          <w:iCs w:val="0"/>
          <w:kern w:val="2"/>
          <w:lang w:val="ru-RU"/>
          <w14:ligatures w14:val="standardContextual"/>
        </w:rPr>
      </w:pPr>
      <w:r>
        <w:fldChar w:fldCharType="begin"/>
      </w:r>
      <w:r>
        <w:instrText xml:space="preserve"> HYPERLINK \l "_Toc225866405" </w:instrText>
      </w:r>
      <w:r>
        <w:fldChar w:fldCharType="separate"/>
      </w:r>
      <w:r>
        <w:rPr>
          <w:rStyle w:val="15"/>
          <w14:scene3d w14:prst="orthographicFront">
            <w14:lightRig w14:rig="threePt" w14:dir="t">
              <w14:rot w14:lat="0" w14:lon="0" w14:rev="0"/>
            </w14:lightRig>
          </w14:scene3d>
        </w:rPr>
        <w:t>В.2</w:t>
      </w:r>
      <w:r>
        <w:rPr>
          <w:rStyle w:val="15"/>
        </w:rPr>
        <w:t xml:space="preserve"> Просмотр файлов формата CSV</w:t>
      </w:r>
      <w:r>
        <w:tab/>
      </w:r>
      <w:r>
        <w:fldChar w:fldCharType="begin"/>
      </w:r>
      <w:r>
        <w:instrText xml:space="preserve"> PAGEREF _Toc225866405 \h </w:instrText>
      </w:r>
      <w:r>
        <w:fldChar w:fldCharType="separate"/>
      </w:r>
      <w:r>
        <w:t>176</w:t>
      </w:r>
      <w:r>
        <w:fldChar w:fldCharType="end"/>
      </w:r>
      <w:r>
        <w:fldChar w:fldCharType="end"/>
      </w:r>
    </w:p>
    <w:p w14:paraId="75CB7D8D">
      <w:pPr>
        <w:pStyle w:val="80"/>
        <w:rPr>
          <w:highlight w:val="yellow"/>
        </w:rPr>
      </w:pPr>
      <w:r>
        <w:rPr>
          <w:lang w:val="en-US"/>
        </w:rPr>
        <w:fldChar w:fldCharType="end"/>
      </w:r>
    </w:p>
    <w:p w14:paraId="6585341E">
      <w:pPr>
        <w:pStyle w:val="67"/>
      </w:pPr>
      <w:bookmarkStart w:id="1" w:name="_Toc122637985"/>
      <w:bookmarkStart w:id="2" w:name="_Toc150261747"/>
      <w:bookmarkStart w:id="3" w:name="_Toc129940778"/>
      <w:bookmarkStart w:id="4" w:name="_Toc16252649"/>
      <w:bookmarkStart w:id="5" w:name="_Toc40470568"/>
      <w:bookmarkStart w:id="6" w:name="_Toc16179893"/>
      <w:bookmarkStart w:id="7" w:name="_Toc13661382"/>
      <w:bookmarkStart w:id="8" w:name="_Toc16523624"/>
      <w:bookmarkStart w:id="9" w:name="_Toc40472288"/>
      <w:bookmarkStart w:id="10" w:name="_Toc225866295"/>
      <w:r>
        <w:t>Термины и сокращени</w:t>
      </w:r>
      <w:bookmarkEnd w:id="1"/>
      <w:bookmarkEnd w:id="2"/>
      <w:bookmarkEnd w:id="3"/>
      <w:bookmarkEnd w:id="4"/>
      <w:bookmarkEnd w:id="5"/>
      <w:bookmarkEnd w:id="6"/>
      <w:bookmarkEnd w:id="7"/>
      <w:bookmarkEnd w:id="8"/>
      <w:bookmarkEnd w:id="9"/>
      <w:r>
        <w:t>я</w:t>
      </w:r>
      <w:bookmarkEnd w:id="10"/>
    </w:p>
    <w:p w14:paraId="422D517E">
      <w:pPr>
        <w:pStyle w:val="70"/>
      </w:pPr>
      <w:r>
        <w:t>В настоящем документе применены следующие термины и сокращения с соответствующими определениями:</w:t>
      </w:r>
    </w:p>
    <w:tbl>
      <w:tblPr>
        <w:tblStyle w:val="12"/>
        <w:tblW w:w="5000" w:type="pct"/>
        <w:tblInd w:w="0" w:type="dxa"/>
        <w:tblLayout w:type="autofit"/>
        <w:tblCellMar>
          <w:top w:w="0" w:type="dxa"/>
          <w:left w:w="57" w:type="dxa"/>
          <w:bottom w:w="0" w:type="dxa"/>
          <w:right w:w="57" w:type="dxa"/>
        </w:tblCellMar>
      </w:tblPr>
      <w:tblGrid>
        <w:gridCol w:w="2578"/>
        <w:gridCol w:w="462"/>
        <w:gridCol w:w="6711"/>
      </w:tblGrid>
      <w:tr w14:paraId="54F0CD5A">
        <w:tblPrEx>
          <w:tblCellMar>
            <w:top w:w="0" w:type="dxa"/>
            <w:left w:w="57" w:type="dxa"/>
            <w:bottom w:w="0" w:type="dxa"/>
            <w:right w:w="57" w:type="dxa"/>
          </w:tblCellMar>
        </w:tblPrEx>
        <w:trPr>
          <w:trHeight w:val="340" w:hRule="atLeast"/>
        </w:trPr>
        <w:tc>
          <w:tcPr>
            <w:tcW w:w="1322" w:type="pct"/>
          </w:tcPr>
          <w:p w14:paraId="6F35CDB3">
            <w:pPr>
              <w:pStyle w:val="81"/>
            </w:pPr>
            <w:r>
              <w:t>Аварийная ситуация</w:t>
            </w:r>
          </w:p>
        </w:tc>
        <w:tc>
          <w:tcPr>
            <w:tcW w:w="237" w:type="pct"/>
          </w:tcPr>
          <w:p w14:paraId="7E2135AD">
            <w:pPr>
              <w:pStyle w:val="83"/>
            </w:pPr>
            <w:r>
              <w:t>—</w:t>
            </w:r>
          </w:p>
        </w:tc>
        <w:tc>
          <w:tcPr>
            <w:tcW w:w="3441" w:type="pct"/>
          </w:tcPr>
          <w:p w14:paraId="5B15231C">
            <w:pPr>
              <w:pStyle w:val="80"/>
            </w:pPr>
            <w:r>
              <w:t>Полная или частичная потеря функциональности Подсистемы</w:t>
            </w:r>
          </w:p>
        </w:tc>
      </w:tr>
      <w:tr w14:paraId="13EDD212">
        <w:tblPrEx>
          <w:tblCellMar>
            <w:top w:w="0" w:type="dxa"/>
            <w:left w:w="57" w:type="dxa"/>
            <w:bottom w:w="0" w:type="dxa"/>
            <w:right w:w="57" w:type="dxa"/>
          </w:tblCellMar>
        </w:tblPrEx>
        <w:trPr>
          <w:trHeight w:val="340" w:hRule="atLeast"/>
        </w:trPr>
        <w:tc>
          <w:tcPr>
            <w:tcW w:w="1322" w:type="pct"/>
          </w:tcPr>
          <w:p w14:paraId="3502C9EA">
            <w:pPr>
              <w:pStyle w:val="81"/>
            </w:pPr>
            <w:r>
              <w:t>Администратор</w:t>
            </w:r>
          </w:p>
        </w:tc>
        <w:tc>
          <w:tcPr>
            <w:tcW w:w="237" w:type="pct"/>
          </w:tcPr>
          <w:p w14:paraId="4708F624">
            <w:pPr>
              <w:pStyle w:val="83"/>
            </w:pPr>
            <w:r>
              <w:t>—</w:t>
            </w:r>
          </w:p>
        </w:tc>
        <w:tc>
          <w:tcPr>
            <w:tcW w:w="3441" w:type="pct"/>
          </w:tcPr>
          <w:p w14:paraId="3DD79EA4">
            <w:pPr>
              <w:pStyle w:val="80"/>
            </w:pPr>
            <w:r>
              <w:t>Работник, производящий контроль за работоспособностью Подсистемы, настройку подсистемы в режиме администрирования и обеспечение её функционирования в штатном режиме</w:t>
            </w:r>
          </w:p>
        </w:tc>
      </w:tr>
      <w:tr w14:paraId="5FA9DA5B">
        <w:tblPrEx>
          <w:tblCellMar>
            <w:top w:w="0" w:type="dxa"/>
            <w:left w:w="57" w:type="dxa"/>
            <w:bottom w:w="0" w:type="dxa"/>
            <w:right w:w="57" w:type="dxa"/>
          </w:tblCellMar>
        </w:tblPrEx>
        <w:trPr>
          <w:trHeight w:val="340" w:hRule="atLeast"/>
        </w:trPr>
        <w:tc>
          <w:tcPr>
            <w:tcW w:w="1322" w:type="pct"/>
          </w:tcPr>
          <w:p w14:paraId="3E548EBF">
            <w:pPr>
              <w:pStyle w:val="81"/>
            </w:pPr>
            <w:r>
              <w:t>АРМ</w:t>
            </w:r>
          </w:p>
        </w:tc>
        <w:tc>
          <w:tcPr>
            <w:tcW w:w="237" w:type="pct"/>
          </w:tcPr>
          <w:p w14:paraId="4CF51AEA">
            <w:pPr>
              <w:pStyle w:val="83"/>
            </w:pPr>
            <w:r>
              <w:t>—</w:t>
            </w:r>
          </w:p>
        </w:tc>
        <w:tc>
          <w:tcPr>
            <w:tcW w:w="3441" w:type="pct"/>
          </w:tcPr>
          <w:p w14:paraId="72166191">
            <w:pPr>
              <w:pStyle w:val="80"/>
            </w:pPr>
            <w:r>
              <w:t>Автоматизированное рабочее место</w:t>
            </w:r>
          </w:p>
        </w:tc>
      </w:tr>
      <w:tr w14:paraId="71340D34">
        <w:tblPrEx>
          <w:tblCellMar>
            <w:top w:w="0" w:type="dxa"/>
            <w:left w:w="57" w:type="dxa"/>
            <w:bottom w:w="0" w:type="dxa"/>
            <w:right w:w="57" w:type="dxa"/>
          </w:tblCellMar>
        </w:tblPrEx>
        <w:trPr>
          <w:trHeight w:val="340" w:hRule="atLeast"/>
        </w:trPr>
        <w:tc>
          <w:tcPr>
            <w:tcW w:w="1322" w:type="pct"/>
          </w:tcPr>
          <w:p w14:paraId="122AB771">
            <w:pPr>
              <w:pStyle w:val="81"/>
            </w:pPr>
            <w:r>
              <w:t>ГИС ОМС</w:t>
            </w:r>
          </w:p>
        </w:tc>
        <w:tc>
          <w:tcPr>
            <w:tcW w:w="237" w:type="pct"/>
          </w:tcPr>
          <w:p w14:paraId="0BCC307D">
            <w:pPr>
              <w:pStyle w:val="83"/>
            </w:pPr>
            <w:r>
              <w:t>—</w:t>
            </w:r>
          </w:p>
        </w:tc>
        <w:tc>
          <w:tcPr>
            <w:tcW w:w="3441" w:type="pct"/>
          </w:tcPr>
          <w:p w14:paraId="336CD4FF">
            <w:pPr>
              <w:pStyle w:val="80"/>
            </w:pPr>
            <w:r>
              <w:t>Государственная информационная система обязательного медицинского страхования</w:t>
            </w:r>
          </w:p>
        </w:tc>
      </w:tr>
      <w:tr w14:paraId="27ADCB45">
        <w:tblPrEx>
          <w:tblCellMar>
            <w:top w:w="0" w:type="dxa"/>
            <w:left w:w="57" w:type="dxa"/>
            <w:bottom w:w="0" w:type="dxa"/>
            <w:right w:w="57" w:type="dxa"/>
          </w:tblCellMar>
        </w:tblPrEx>
        <w:trPr>
          <w:trHeight w:val="340" w:hRule="atLeast"/>
        </w:trPr>
        <w:tc>
          <w:tcPr>
            <w:tcW w:w="1322" w:type="pct"/>
          </w:tcPr>
          <w:p w14:paraId="74EB8A89">
            <w:pPr>
              <w:pStyle w:val="81"/>
            </w:pPr>
            <w:r>
              <w:t>ДС</w:t>
            </w:r>
          </w:p>
        </w:tc>
        <w:tc>
          <w:tcPr>
            <w:tcW w:w="237" w:type="pct"/>
          </w:tcPr>
          <w:p w14:paraId="0B2E9359">
            <w:pPr>
              <w:pStyle w:val="83"/>
            </w:pPr>
            <w:r>
              <w:t>—</w:t>
            </w:r>
          </w:p>
        </w:tc>
        <w:tc>
          <w:tcPr>
            <w:tcW w:w="3441" w:type="pct"/>
          </w:tcPr>
          <w:p w14:paraId="14D76E43">
            <w:pPr>
              <w:pStyle w:val="80"/>
            </w:pPr>
            <w:r>
              <w:t>Дневной стационар</w:t>
            </w:r>
          </w:p>
        </w:tc>
      </w:tr>
      <w:tr w14:paraId="7DC485D2">
        <w:tblPrEx>
          <w:tblCellMar>
            <w:top w:w="0" w:type="dxa"/>
            <w:left w:w="57" w:type="dxa"/>
            <w:bottom w:w="0" w:type="dxa"/>
            <w:right w:w="57" w:type="dxa"/>
          </w:tblCellMar>
        </w:tblPrEx>
        <w:trPr>
          <w:trHeight w:val="340" w:hRule="atLeast"/>
        </w:trPr>
        <w:tc>
          <w:tcPr>
            <w:tcW w:w="1322" w:type="pct"/>
          </w:tcPr>
          <w:p w14:paraId="515BE21E">
            <w:pPr>
              <w:pStyle w:val="81"/>
            </w:pPr>
            <w:r>
              <w:t>ЕГИСЗ</w:t>
            </w:r>
          </w:p>
        </w:tc>
        <w:tc>
          <w:tcPr>
            <w:tcW w:w="237" w:type="pct"/>
          </w:tcPr>
          <w:p w14:paraId="4CFE80C0">
            <w:pPr>
              <w:pStyle w:val="83"/>
            </w:pPr>
            <w:r>
              <w:t>—</w:t>
            </w:r>
          </w:p>
        </w:tc>
        <w:tc>
          <w:tcPr>
            <w:tcW w:w="3441" w:type="pct"/>
          </w:tcPr>
          <w:p w14:paraId="5A9E1626">
            <w:pPr>
              <w:pStyle w:val="80"/>
            </w:pPr>
            <w:r>
              <w:t>Единая государственная информационная система в сфере здравоохранения</w:t>
            </w:r>
          </w:p>
        </w:tc>
      </w:tr>
      <w:tr w14:paraId="7C887358">
        <w:tblPrEx>
          <w:tblCellMar>
            <w:top w:w="0" w:type="dxa"/>
            <w:left w:w="57" w:type="dxa"/>
            <w:bottom w:w="0" w:type="dxa"/>
            <w:right w:w="57" w:type="dxa"/>
          </w:tblCellMar>
        </w:tblPrEx>
        <w:trPr>
          <w:trHeight w:val="340" w:hRule="atLeast"/>
        </w:trPr>
        <w:tc>
          <w:tcPr>
            <w:tcW w:w="1322" w:type="pct"/>
          </w:tcPr>
          <w:p w14:paraId="774EB735">
            <w:pPr>
              <w:pStyle w:val="81"/>
            </w:pPr>
            <w:r>
              <w:t>ЕНП</w:t>
            </w:r>
          </w:p>
        </w:tc>
        <w:tc>
          <w:tcPr>
            <w:tcW w:w="237" w:type="pct"/>
          </w:tcPr>
          <w:p w14:paraId="21D75814">
            <w:pPr>
              <w:pStyle w:val="83"/>
            </w:pPr>
            <w:r>
              <w:t>—</w:t>
            </w:r>
          </w:p>
        </w:tc>
        <w:tc>
          <w:tcPr>
            <w:tcW w:w="3441" w:type="pct"/>
          </w:tcPr>
          <w:p w14:paraId="5D5AB96D">
            <w:pPr>
              <w:pStyle w:val="80"/>
            </w:pPr>
            <w:r>
              <w:t>Единый номер полиса</w:t>
            </w:r>
          </w:p>
        </w:tc>
      </w:tr>
      <w:tr w14:paraId="07653276">
        <w:tblPrEx>
          <w:tblCellMar>
            <w:top w:w="0" w:type="dxa"/>
            <w:left w:w="57" w:type="dxa"/>
            <w:bottom w:w="0" w:type="dxa"/>
            <w:right w:w="57" w:type="dxa"/>
          </w:tblCellMar>
        </w:tblPrEx>
        <w:trPr>
          <w:trHeight w:val="340" w:hRule="atLeast"/>
        </w:trPr>
        <w:tc>
          <w:tcPr>
            <w:tcW w:w="1322" w:type="pct"/>
          </w:tcPr>
          <w:p w14:paraId="19BDF4A0">
            <w:pPr>
              <w:pStyle w:val="81"/>
            </w:pPr>
            <w:r>
              <w:t>ЕСКЛП</w:t>
            </w:r>
          </w:p>
        </w:tc>
        <w:tc>
          <w:tcPr>
            <w:tcW w:w="237" w:type="pct"/>
          </w:tcPr>
          <w:p w14:paraId="275E6921">
            <w:pPr>
              <w:pStyle w:val="83"/>
            </w:pPr>
            <w:r>
              <w:t>—</w:t>
            </w:r>
          </w:p>
        </w:tc>
        <w:tc>
          <w:tcPr>
            <w:tcW w:w="3441" w:type="pct"/>
          </w:tcPr>
          <w:p w14:paraId="6BF3EA02">
            <w:pPr>
              <w:pStyle w:val="80"/>
            </w:pPr>
            <w:r>
              <w:t>Единый справочник-каталог лекарственных препаратов</w:t>
            </w:r>
          </w:p>
        </w:tc>
      </w:tr>
      <w:tr w14:paraId="3E1820FD">
        <w:tblPrEx>
          <w:tblCellMar>
            <w:top w:w="0" w:type="dxa"/>
            <w:left w:w="57" w:type="dxa"/>
            <w:bottom w:w="0" w:type="dxa"/>
            <w:right w:w="57" w:type="dxa"/>
          </w:tblCellMar>
        </w:tblPrEx>
        <w:trPr>
          <w:trHeight w:val="340" w:hRule="atLeast"/>
        </w:trPr>
        <w:tc>
          <w:tcPr>
            <w:tcW w:w="1322" w:type="pct"/>
          </w:tcPr>
          <w:p w14:paraId="504D835A">
            <w:pPr>
              <w:pStyle w:val="81"/>
            </w:pPr>
            <w:r>
              <w:t>ЗЛ</w:t>
            </w:r>
          </w:p>
        </w:tc>
        <w:tc>
          <w:tcPr>
            <w:tcW w:w="237" w:type="pct"/>
          </w:tcPr>
          <w:p w14:paraId="48B4ED29">
            <w:pPr>
              <w:pStyle w:val="83"/>
            </w:pPr>
            <w:r>
              <w:t>—</w:t>
            </w:r>
          </w:p>
        </w:tc>
        <w:tc>
          <w:tcPr>
            <w:tcW w:w="3441" w:type="pct"/>
          </w:tcPr>
          <w:p w14:paraId="5FFB1316">
            <w:pPr>
              <w:pStyle w:val="80"/>
            </w:pPr>
            <w:r>
              <w:t>Застрахованное лицо в системе ОМС</w:t>
            </w:r>
          </w:p>
        </w:tc>
      </w:tr>
      <w:tr w14:paraId="2749DD85">
        <w:tblPrEx>
          <w:tblCellMar>
            <w:top w:w="0" w:type="dxa"/>
            <w:left w:w="57" w:type="dxa"/>
            <w:bottom w:w="0" w:type="dxa"/>
            <w:right w:w="57" w:type="dxa"/>
          </w:tblCellMar>
        </w:tblPrEx>
        <w:trPr>
          <w:trHeight w:val="340" w:hRule="atLeast"/>
        </w:trPr>
        <w:tc>
          <w:tcPr>
            <w:tcW w:w="1322" w:type="pct"/>
          </w:tcPr>
          <w:p w14:paraId="64496FE6">
            <w:pPr>
              <w:pStyle w:val="81"/>
            </w:pPr>
            <w:r>
              <w:t>ЗС</w:t>
            </w:r>
          </w:p>
        </w:tc>
        <w:tc>
          <w:tcPr>
            <w:tcW w:w="237" w:type="pct"/>
          </w:tcPr>
          <w:p w14:paraId="7056AC7C">
            <w:pPr>
              <w:pStyle w:val="83"/>
            </w:pPr>
            <w:r>
              <w:t>—</w:t>
            </w:r>
          </w:p>
        </w:tc>
        <w:tc>
          <w:tcPr>
            <w:tcW w:w="3441" w:type="pct"/>
          </w:tcPr>
          <w:p w14:paraId="4823FA65">
            <w:pPr>
              <w:pStyle w:val="80"/>
            </w:pPr>
            <w:r>
              <w:t>Законченный случай</w:t>
            </w:r>
          </w:p>
        </w:tc>
      </w:tr>
      <w:tr w14:paraId="6856E587">
        <w:tblPrEx>
          <w:tblCellMar>
            <w:top w:w="0" w:type="dxa"/>
            <w:left w:w="57" w:type="dxa"/>
            <w:bottom w:w="0" w:type="dxa"/>
            <w:right w:w="57" w:type="dxa"/>
          </w:tblCellMar>
        </w:tblPrEx>
        <w:trPr>
          <w:trHeight w:val="340" w:hRule="atLeast"/>
        </w:trPr>
        <w:tc>
          <w:tcPr>
            <w:tcW w:w="1322" w:type="pct"/>
          </w:tcPr>
          <w:p w14:paraId="57C3EF36">
            <w:pPr>
              <w:pStyle w:val="81"/>
            </w:pPr>
            <w:r>
              <w:t>ЗСПД</w:t>
            </w:r>
          </w:p>
        </w:tc>
        <w:tc>
          <w:tcPr>
            <w:tcW w:w="237" w:type="pct"/>
          </w:tcPr>
          <w:p w14:paraId="12BCD7CA">
            <w:pPr>
              <w:pStyle w:val="83"/>
            </w:pPr>
            <w:r>
              <w:t>—</w:t>
            </w:r>
          </w:p>
        </w:tc>
        <w:tc>
          <w:tcPr>
            <w:tcW w:w="3441" w:type="pct"/>
          </w:tcPr>
          <w:p w14:paraId="71AF2CCF">
            <w:pPr>
              <w:pStyle w:val="80"/>
            </w:pPr>
            <w:r>
              <w:t>Защищенная сеть передачи данных ФОМС</w:t>
            </w:r>
          </w:p>
        </w:tc>
      </w:tr>
      <w:tr w14:paraId="28AB416D">
        <w:tblPrEx>
          <w:tblCellMar>
            <w:top w:w="0" w:type="dxa"/>
            <w:left w:w="57" w:type="dxa"/>
            <w:bottom w:w="0" w:type="dxa"/>
            <w:right w:w="57" w:type="dxa"/>
          </w:tblCellMar>
        </w:tblPrEx>
        <w:trPr>
          <w:trHeight w:val="340" w:hRule="atLeast"/>
        </w:trPr>
        <w:tc>
          <w:tcPr>
            <w:tcW w:w="1322" w:type="pct"/>
          </w:tcPr>
          <w:p w14:paraId="3409738C">
            <w:pPr>
              <w:pStyle w:val="81"/>
            </w:pPr>
            <w:r>
              <w:t>Информационное взаимодействие</w:t>
            </w:r>
          </w:p>
        </w:tc>
        <w:tc>
          <w:tcPr>
            <w:tcW w:w="237" w:type="pct"/>
          </w:tcPr>
          <w:p w14:paraId="69A28DFC">
            <w:pPr>
              <w:pStyle w:val="83"/>
            </w:pPr>
            <w:r>
              <w:t>—</w:t>
            </w:r>
          </w:p>
        </w:tc>
        <w:tc>
          <w:tcPr>
            <w:tcW w:w="3441" w:type="pct"/>
          </w:tcPr>
          <w:p w14:paraId="1C2DEB5E">
            <w:pPr>
              <w:pStyle w:val="80"/>
            </w:pPr>
            <w:r>
              <w:t>Обмен данными в электронном виде при организации расчетов за оказанную медицинскую помощь в сфере обязательного медицинского страхования в субъекте РФ</w:t>
            </w:r>
          </w:p>
        </w:tc>
      </w:tr>
      <w:tr w14:paraId="3AE03FBA">
        <w:tblPrEx>
          <w:tblCellMar>
            <w:top w:w="0" w:type="dxa"/>
            <w:left w:w="57" w:type="dxa"/>
            <w:bottom w:w="0" w:type="dxa"/>
            <w:right w:w="57" w:type="dxa"/>
          </w:tblCellMar>
        </w:tblPrEx>
        <w:trPr>
          <w:trHeight w:val="340" w:hRule="atLeast"/>
        </w:trPr>
        <w:tc>
          <w:tcPr>
            <w:tcW w:w="1322" w:type="pct"/>
          </w:tcPr>
          <w:p w14:paraId="68B04E46">
            <w:pPr>
              <w:pStyle w:val="81"/>
            </w:pPr>
            <w:r>
              <w:t>КМК</w:t>
            </w:r>
          </w:p>
        </w:tc>
        <w:tc>
          <w:tcPr>
            <w:tcW w:w="237" w:type="pct"/>
          </w:tcPr>
          <w:p w14:paraId="4EB7B24A">
            <w:pPr>
              <w:pStyle w:val="83"/>
            </w:pPr>
            <w:r>
              <w:t>—</w:t>
            </w:r>
          </w:p>
        </w:tc>
        <w:tc>
          <w:tcPr>
            <w:tcW w:w="3441" w:type="pct"/>
          </w:tcPr>
          <w:p w14:paraId="783F9912">
            <w:pPr>
              <w:pStyle w:val="80"/>
            </w:pPr>
            <w:r>
              <w:t>Код медицинской классификации</w:t>
            </w:r>
          </w:p>
        </w:tc>
      </w:tr>
      <w:tr w14:paraId="4FD24E55">
        <w:tblPrEx>
          <w:tblCellMar>
            <w:top w:w="0" w:type="dxa"/>
            <w:left w:w="57" w:type="dxa"/>
            <w:bottom w:w="0" w:type="dxa"/>
            <w:right w:w="57" w:type="dxa"/>
          </w:tblCellMar>
        </w:tblPrEx>
        <w:trPr>
          <w:trHeight w:val="340" w:hRule="atLeast"/>
        </w:trPr>
        <w:tc>
          <w:tcPr>
            <w:tcW w:w="1322" w:type="pct"/>
          </w:tcPr>
          <w:p w14:paraId="47F98388">
            <w:pPr>
              <w:pStyle w:val="81"/>
            </w:pPr>
            <w:r>
              <w:t>КС</w:t>
            </w:r>
          </w:p>
        </w:tc>
        <w:tc>
          <w:tcPr>
            <w:tcW w:w="237" w:type="pct"/>
          </w:tcPr>
          <w:p w14:paraId="4A37E4C1">
            <w:pPr>
              <w:pStyle w:val="83"/>
            </w:pPr>
            <w:r>
              <w:t>—</w:t>
            </w:r>
          </w:p>
        </w:tc>
        <w:tc>
          <w:tcPr>
            <w:tcW w:w="3441" w:type="pct"/>
          </w:tcPr>
          <w:p w14:paraId="5D4F8C9D">
            <w:pPr>
              <w:pStyle w:val="80"/>
            </w:pPr>
            <w:r>
              <w:t>Круглосуточный стационар</w:t>
            </w:r>
          </w:p>
        </w:tc>
      </w:tr>
      <w:tr w14:paraId="75DA268C">
        <w:tblPrEx>
          <w:tblCellMar>
            <w:top w:w="0" w:type="dxa"/>
            <w:left w:w="57" w:type="dxa"/>
            <w:bottom w:w="0" w:type="dxa"/>
            <w:right w:w="57" w:type="dxa"/>
          </w:tblCellMar>
        </w:tblPrEx>
        <w:trPr>
          <w:trHeight w:val="340" w:hRule="atLeast"/>
        </w:trPr>
        <w:tc>
          <w:tcPr>
            <w:tcW w:w="1322" w:type="pct"/>
          </w:tcPr>
          <w:p w14:paraId="5213F0EA">
            <w:pPr>
              <w:pStyle w:val="81"/>
            </w:pPr>
            <w:r>
              <w:t>КСГ</w:t>
            </w:r>
          </w:p>
        </w:tc>
        <w:tc>
          <w:tcPr>
            <w:tcW w:w="237" w:type="pct"/>
          </w:tcPr>
          <w:p w14:paraId="620E1946">
            <w:pPr>
              <w:pStyle w:val="83"/>
            </w:pPr>
            <w:r>
              <w:t>—</w:t>
            </w:r>
          </w:p>
        </w:tc>
        <w:tc>
          <w:tcPr>
            <w:tcW w:w="3441" w:type="pct"/>
          </w:tcPr>
          <w:p w14:paraId="51EC6B38">
            <w:pPr>
              <w:pStyle w:val="80"/>
            </w:pPr>
            <w:r>
              <w:t>Клинико-статистическая группа</w:t>
            </w:r>
          </w:p>
        </w:tc>
      </w:tr>
      <w:tr w14:paraId="69539E3B">
        <w:tblPrEx>
          <w:tblCellMar>
            <w:top w:w="0" w:type="dxa"/>
            <w:left w:w="57" w:type="dxa"/>
            <w:bottom w:w="0" w:type="dxa"/>
            <w:right w:w="57" w:type="dxa"/>
          </w:tblCellMar>
        </w:tblPrEx>
        <w:trPr>
          <w:trHeight w:val="340" w:hRule="atLeast"/>
        </w:trPr>
        <w:tc>
          <w:tcPr>
            <w:tcW w:w="1322" w:type="pct"/>
          </w:tcPr>
          <w:p w14:paraId="4D05B594">
            <w:pPr>
              <w:pStyle w:val="81"/>
            </w:pPr>
            <w:r>
              <w:t>МИС</w:t>
            </w:r>
          </w:p>
        </w:tc>
        <w:tc>
          <w:tcPr>
            <w:tcW w:w="237" w:type="pct"/>
          </w:tcPr>
          <w:p w14:paraId="6F13DE2E">
            <w:pPr>
              <w:pStyle w:val="83"/>
            </w:pPr>
            <w:r>
              <w:t>—</w:t>
            </w:r>
          </w:p>
        </w:tc>
        <w:tc>
          <w:tcPr>
            <w:tcW w:w="3441" w:type="pct"/>
          </w:tcPr>
          <w:p w14:paraId="683F8EBC">
            <w:pPr>
              <w:pStyle w:val="80"/>
            </w:pPr>
            <w:r>
              <w:t>Медицинская информационная система</w:t>
            </w:r>
          </w:p>
        </w:tc>
      </w:tr>
      <w:tr w14:paraId="58E06A9A">
        <w:tblPrEx>
          <w:tblCellMar>
            <w:top w:w="0" w:type="dxa"/>
            <w:left w:w="57" w:type="dxa"/>
            <w:bottom w:w="0" w:type="dxa"/>
            <w:right w:w="57" w:type="dxa"/>
          </w:tblCellMar>
        </w:tblPrEx>
        <w:trPr>
          <w:trHeight w:val="340" w:hRule="atLeast"/>
        </w:trPr>
        <w:tc>
          <w:tcPr>
            <w:tcW w:w="1322" w:type="pct"/>
          </w:tcPr>
          <w:p w14:paraId="47EA38C4">
            <w:pPr>
              <w:pStyle w:val="81"/>
            </w:pPr>
            <w:r>
              <w:t>МО</w:t>
            </w:r>
          </w:p>
        </w:tc>
        <w:tc>
          <w:tcPr>
            <w:tcW w:w="237" w:type="pct"/>
          </w:tcPr>
          <w:p w14:paraId="7F90904A">
            <w:pPr>
              <w:pStyle w:val="83"/>
            </w:pPr>
            <w:r>
              <w:t>—</w:t>
            </w:r>
          </w:p>
        </w:tc>
        <w:tc>
          <w:tcPr>
            <w:tcW w:w="3441" w:type="pct"/>
          </w:tcPr>
          <w:p w14:paraId="67FC65F6">
            <w:pPr>
              <w:pStyle w:val="80"/>
            </w:pPr>
            <w:r>
              <w:t>Медицинская организация, осуществляющая деятельность в сфере обязательного медицинского страхования</w:t>
            </w:r>
          </w:p>
        </w:tc>
      </w:tr>
      <w:tr w14:paraId="66B1A0C6">
        <w:tblPrEx>
          <w:tblCellMar>
            <w:top w:w="0" w:type="dxa"/>
            <w:left w:w="57" w:type="dxa"/>
            <w:bottom w:w="0" w:type="dxa"/>
            <w:right w:w="57" w:type="dxa"/>
          </w:tblCellMar>
        </w:tblPrEx>
        <w:trPr>
          <w:trHeight w:val="340" w:hRule="atLeast"/>
        </w:trPr>
        <w:tc>
          <w:tcPr>
            <w:tcW w:w="1322" w:type="pct"/>
          </w:tcPr>
          <w:p w14:paraId="346686CA">
            <w:pPr>
              <w:pStyle w:val="81"/>
            </w:pPr>
            <w:r>
              <w:t>МП</w:t>
            </w:r>
          </w:p>
        </w:tc>
        <w:tc>
          <w:tcPr>
            <w:tcW w:w="237" w:type="pct"/>
          </w:tcPr>
          <w:p w14:paraId="5C4DBBFD">
            <w:pPr>
              <w:pStyle w:val="83"/>
            </w:pPr>
            <w:r>
              <w:t>—</w:t>
            </w:r>
          </w:p>
        </w:tc>
        <w:tc>
          <w:tcPr>
            <w:tcW w:w="3441" w:type="pct"/>
          </w:tcPr>
          <w:p w14:paraId="2D31B320">
            <w:pPr>
              <w:pStyle w:val="80"/>
            </w:pPr>
            <w:r>
              <w:t>Медицинская помощь</w:t>
            </w:r>
          </w:p>
        </w:tc>
      </w:tr>
      <w:tr w14:paraId="5C22BF49">
        <w:tblPrEx>
          <w:tblCellMar>
            <w:top w:w="0" w:type="dxa"/>
            <w:left w:w="57" w:type="dxa"/>
            <w:bottom w:w="0" w:type="dxa"/>
            <w:right w:w="57" w:type="dxa"/>
          </w:tblCellMar>
        </w:tblPrEx>
        <w:trPr>
          <w:trHeight w:val="340" w:hRule="atLeast"/>
        </w:trPr>
        <w:tc>
          <w:tcPr>
            <w:tcW w:w="1322" w:type="pct"/>
          </w:tcPr>
          <w:p w14:paraId="4771B714">
            <w:pPr>
              <w:pStyle w:val="81"/>
            </w:pPr>
            <w:r>
              <w:t>МР</w:t>
            </w:r>
          </w:p>
        </w:tc>
        <w:tc>
          <w:tcPr>
            <w:tcW w:w="237" w:type="pct"/>
          </w:tcPr>
          <w:p w14:paraId="70894A5D">
            <w:pPr>
              <w:pStyle w:val="83"/>
            </w:pPr>
            <w:r>
              <w:t>—</w:t>
            </w:r>
          </w:p>
        </w:tc>
        <w:tc>
          <w:tcPr>
            <w:tcW w:w="3441" w:type="pct"/>
          </w:tcPr>
          <w:p w14:paraId="5DF6B24B">
            <w:pPr>
              <w:pStyle w:val="80"/>
            </w:pPr>
            <w:r>
              <w:t>Медицинский работник</w:t>
            </w:r>
          </w:p>
        </w:tc>
      </w:tr>
      <w:tr w14:paraId="730F9ACD">
        <w:tblPrEx>
          <w:tblCellMar>
            <w:top w:w="0" w:type="dxa"/>
            <w:left w:w="57" w:type="dxa"/>
            <w:bottom w:w="0" w:type="dxa"/>
            <w:right w:w="57" w:type="dxa"/>
          </w:tblCellMar>
        </w:tblPrEx>
        <w:trPr>
          <w:trHeight w:val="340" w:hRule="atLeast"/>
        </w:trPr>
        <w:tc>
          <w:tcPr>
            <w:tcW w:w="1322" w:type="pct"/>
          </w:tcPr>
          <w:p w14:paraId="3C113DC5">
            <w:pPr>
              <w:pStyle w:val="81"/>
            </w:pPr>
            <w:r>
              <w:t>МЭК</w:t>
            </w:r>
          </w:p>
        </w:tc>
        <w:tc>
          <w:tcPr>
            <w:tcW w:w="237" w:type="pct"/>
          </w:tcPr>
          <w:p w14:paraId="7C7B77C5">
            <w:pPr>
              <w:pStyle w:val="83"/>
            </w:pPr>
            <w:r>
              <w:t>—</w:t>
            </w:r>
          </w:p>
        </w:tc>
        <w:tc>
          <w:tcPr>
            <w:tcW w:w="3441" w:type="pct"/>
          </w:tcPr>
          <w:p w14:paraId="27AEAC2A">
            <w:pPr>
              <w:pStyle w:val="80"/>
            </w:pPr>
            <w:bookmarkStart w:id="11" w:name="_Hlk146815360"/>
            <w:r>
              <w:t>Медико-экономический контроль медицинской помощи</w:t>
            </w:r>
            <w:bookmarkEnd w:id="11"/>
          </w:p>
        </w:tc>
      </w:tr>
      <w:tr w14:paraId="114E0BE6">
        <w:tblPrEx>
          <w:tblCellMar>
            <w:top w:w="0" w:type="dxa"/>
            <w:left w:w="57" w:type="dxa"/>
            <w:bottom w:w="0" w:type="dxa"/>
            <w:right w:w="57" w:type="dxa"/>
          </w:tblCellMar>
        </w:tblPrEx>
        <w:trPr>
          <w:trHeight w:val="340" w:hRule="atLeast"/>
        </w:trPr>
        <w:tc>
          <w:tcPr>
            <w:tcW w:w="1322" w:type="pct"/>
          </w:tcPr>
          <w:p w14:paraId="38B2989E">
            <w:pPr>
              <w:pStyle w:val="81"/>
            </w:pPr>
            <w:r>
              <w:t>МЭЭ</w:t>
            </w:r>
          </w:p>
        </w:tc>
        <w:tc>
          <w:tcPr>
            <w:tcW w:w="237" w:type="pct"/>
          </w:tcPr>
          <w:p w14:paraId="3695BFD6">
            <w:pPr>
              <w:pStyle w:val="83"/>
            </w:pPr>
            <w:r>
              <w:t>—</w:t>
            </w:r>
          </w:p>
        </w:tc>
        <w:tc>
          <w:tcPr>
            <w:tcW w:w="3441" w:type="pct"/>
          </w:tcPr>
          <w:p w14:paraId="29ED57CD">
            <w:pPr>
              <w:pStyle w:val="80"/>
            </w:pPr>
            <w:r>
              <w:t>Медико-экономическая экспертиза</w:t>
            </w:r>
          </w:p>
        </w:tc>
      </w:tr>
      <w:tr w14:paraId="2DEFC6A9">
        <w:tblPrEx>
          <w:tblCellMar>
            <w:top w:w="0" w:type="dxa"/>
            <w:left w:w="57" w:type="dxa"/>
            <w:bottom w:w="0" w:type="dxa"/>
            <w:right w:w="57" w:type="dxa"/>
          </w:tblCellMar>
        </w:tblPrEx>
        <w:trPr>
          <w:trHeight w:val="340" w:hRule="atLeast"/>
        </w:trPr>
        <w:tc>
          <w:tcPr>
            <w:tcW w:w="1322" w:type="pct"/>
          </w:tcPr>
          <w:p w14:paraId="5CEAAADD">
            <w:pPr>
              <w:pStyle w:val="81"/>
            </w:pPr>
            <w:r>
              <w:t>НР</w:t>
            </w:r>
          </w:p>
        </w:tc>
        <w:tc>
          <w:tcPr>
            <w:tcW w:w="237" w:type="pct"/>
          </w:tcPr>
          <w:p w14:paraId="31A9C344">
            <w:pPr>
              <w:pStyle w:val="83"/>
            </w:pPr>
            <w:r>
              <w:t>—</w:t>
            </w:r>
          </w:p>
        </w:tc>
        <w:tc>
          <w:tcPr>
            <w:tcW w:w="3441" w:type="pct"/>
          </w:tcPr>
          <w:p w14:paraId="58B4DF85">
            <w:pPr>
              <w:pStyle w:val="80"/>
            </w:pPr>
            <w:r>
              <w:t>Новорожденный — сведения о неподтвержденном законном представителе ребенка для целей учета сведений об оказанной медицинской помощи, включающие сведения о новорожденном</w:t>
            </w:r>
          </w:p>
        </w:tc>
      </w:tr>
      <w:tr w14:paraId="7B2E264E">
        <w:tblPrEx>
          <w:tblCellMar>
            <w:top w:w="0" w:type="dxa"/>
            <w:left w:w="57" w:type="dxa"/>
            <w:bottom w:w="0" w:type="dxa"/>
            <w:right w:w="57" w:type="dxa"/>
          </w:tblCellMar>
        </w:tblPrEx>
        <w:trPr>
          <w:trHeight w:val="340" w:hRule="atLeast"/>
        </w:trPr>
        <w:tc>
          <w:tcPr>
            <w:tcW w:w="1322" w:type="pct"/>
          </w:tcPr>
          <w:p w14:paraId="7A2B2169">
            <w:pPr>
              <w:pStyle w:val="81"/>
            </w:pPr>
            <w:r>
              <w:t>НСИ</w:t>
            </w:r>
          </w:p>
        </w:tc>
        <w:tc>
          <w:tcPr>
            <w:tcW w:w="237" w:type="pct"/>
          </w:tcPr>
          <w:p w14:paraId="63ADB573">
            <w:pPr>
              <w:pStyle w:val="83"/>
            </w:pPr>
            <w:r>
              <w:t>—</w:t>
            </w:r>
          </w:p>
        </w:tc>
        <w:tc>
          <w:tcPr>
            <w:tcW w:w="3441" w:type="pct"/>
          </w:tcPr>
          <w:p w14:paraId="1A16E3CE">
            <w:pPr>
              <w:pStyle w:val="80"/>
            </w:pPr>
            <w:r>
              <w:t>Нормативно-справочная информация</w:t>
            </w:r>
          </w:p>
        </w:tc>
      </w:tr>
      <w:tr w14:paraId="7C1516B3">
        <w:tblPrEx>
          <w:tblCellMar>
            <w:top w:w="0" w:type="dxa"/>
            <w:left w:w="57" w:type="dxa"/>
            <w:bottom w:w="0" w:type="dxa"/>
            <w:right w:w="57" w:type="dxa"/>
          </w:tblCellMar>
        </w:tblPrEx>
        <w:trPr>
          <w:trHeight w:val="340" w:hRule="atLeast"/>
        </w:trPr>
        <w:tc>
          <w:tcPr>
            <w:tcW w:w="1322" w:type="pct"/>
          </w:tcPr>
          <w:p w14:paraId="348081B0">
            <w:pPr>
              <w:pStyle w:val="81"/>
            </w:pPr>
            <w:r>
              <w:t>ОИП</w:t>
            </w:r>
          </w:p>
        </w:tc>
        <w:tc>
          <w:tcPr>
            <w:tcW w:w="237" w:type="pct"/>
          </w:tcPr>
          <w:p w14:paraId="40FC0073">
            <w:pPr>
              <w:pStyle w:val="83"/>
            </w:pPr>
            <w:r>
              <w:t>—</w:t>
            </w:r>
          </w:p>
        </w:tc>
        <w:tc>
          <w:tcPr>
            <w:tcW w:w="3441" w:type="pct"/>
          </w:tcPr>
          <w:p w14:paraId="1EAA0882">
            <w:pPr>
              <w:pStyle w:val="80"/>
            </w:pPr>
            <w:r>
              <w:t>Обезличенный идентификатор пациента</w:t>
            </w:r>
          </w:p>
        </w:tc>
      </w:tr>
      <w:tr w14:paraId="56BB176E">
        <w:tblPrEx>
          <w:tblCellMar>
            <w:top w:w="0" w:type="dxa"/>
            <w:left w:w="57" w:type="dxa"/>
            <w:bottom w:w="0" w:type="dxa"/>
            <w:right w:w="57" w:type="dxa"/>
          </w:tblCellMar>
        </w:tblPrEx>
        <w:trPr>
          <w:trHeight w:val="340" w:hRule="atLeast"/>
        </w:trPr>
        <w:tc>
          <w:tcPr>
            <w:tcW w:w="1322" w:type="pct"/>
          </w:tcPr>
          <w:p w14:paraId="5014C910">
            <w:pPr>
              <w:pStyle w:val="81"/>
            </w:pPr>
            <w:r>
              <w:t>ОМС</w:t>
            </w:r>
          </w:p>
        </w:tc>
        <w:tc>
          <w:tcPr>
            <w:tcW w:w="237" w:type="pct"/>
          </w:tcPr>
          <w:p w14:paraId="4872445A">
            <w:pPr>
              <w:pStyle w:val="83"/>
            </w:pPr>
            <w:r>
              <w:t>—</w:t>
            </w:r>
          </w:p>
        </w:tc>
        <w:tc>
          <w:tcPr>
            <w:tcW w:w="3441" w:type="pct"/>
          </w:tcPr>
          <w:p w14:paraId="62B50CDB">
            <w:pPr>
              <w:pStyle w:val="80"/>
            </w:pPr>
            <w:r>
              <w:t>Обязательное медицинское страхование</w:t>
            </w:r>
          </w:p>
        </w:tc>
      </w:tr>
      <w:tr w14:paraId="69336BEF">
        <w:tblPrEx>
          <w:tblCellMar>
            <w:top w:w="0" w:type="dxa"/>
            <w:left w:w="57" w:type="dxa"/>
            <w:bottom w:w="0" w:type="dxa"/>
            <w:right w:w="57" w:type="dxa"/>
          </w:tblCellMar>
        </w:tblPrEx>
        <w:trPr>
          <w:trHeight w:val="340" w:hRule="atLeast"/>
        </w:trPr>
        <w:tc>
          <w:tcPr>
            <w:tcW w:w="1322" w:type="pct"/>
          </w:tcPr>
          <w:p w14:paraId="627ECA0D">
            <w:pPr>
              <w:pStyle w:val="81"/>
            </w:pPr>
            <w:r>
              <w:t>ОС</w:t>
            </w:r>
          </w:p>
        </w:tc>
        <w:tc>
          <w:tcPr>
            <w:tcW w:w="237" w:type="pct"/>
          </w:tcPr>
          <w:p w14:paraId="351A2E90">
            <w:pPr>
              <w:pStyle w:val="83"/>
            </w:pPr>
            <w:r>
              <w:t>—</w:t>
            </w:r>
          </w:p>
        </w:tc>
        <w:tc>
          <w:tcPr>
            <w:tcW w:w="3441" w:type="pct"/>
          </w:tcPr>
          <w:p w14:paraId="48791BFC">
            <w:pPr>
              <w:pStyle w:val="80"/>
            </w:pPr>
            <w:r>
              <w:t>Операционная система</w:t>
            </w:r>
          </w:p>
        </w:tc>
      </w:tr>
      <w:tr w14:paraId="2EDCD577">
        <w:tblPrEx>
          <w:tblCellMar>
            <w:top w:w="0" w:type="dxa"/>
            <w:left w:w="57" w:type="dxa"/>
            <w:bottom w:w="0" w:type="dxa"/>
            <w:right w:w="57" w:type="dxa"/>
          </w:tblCellMar>
        </w:tblPrEx>
        <w:trPr>
          <w:trHeight w:val="340" w:hRule="atLeast"/>
        </w:trPr>
        <w:tc>
          <w:tcPr>
            <w:tcW w:w="1322" w:type="pct"/>
          </w:tcPr>
          <w:p w14:paraId="0ABFE82C">
            <w:pPr>
              <w:pStyle w:val="81"/>
            </w:pPr>
            <w:r>
              <w:t>Пользователь</w:t>
            </w:r>
          </w:p>
        </w:tc>
        <w:tc>
          <w:tcPr>
            <w:tcW w:w="237" w:type="pct"/>
          </w:tcPr>
          <w:p w14:paraId="7F3AA092">
            <w:pPr>
              <w:pStyle w:val="83"/>
            </w:pPr>
            <w:r>
              <w:t>—</w:t>
            </w:r>
          </w:p>
        </w:tc>
        <w:tc>
          <w:tcPr>
            <w:tcW w:w="3441" w:type="pct"/>
          </w:tcPr>
          <w:p w14:paraId="072EF0E9">
            <w:pPr>
              <w:pStyle w:val="80"/>
            </w:pPr>
            <w:r>
              <w:t>Лицо, имеющее учетную запись в Подсистеме и использующее Подсистему для выполнения своих функциональных обязанностей</w:t>
            </w:r>
          </w:p>
        </w:tc>
      </w:tr>
      <w:tr w14:paraId="7229861B">
        <w:tblPrEx>
          <w:tblCellMar>
            <w:top w:w="0" w:type="dxa"/>
            <w:left w:w="57" w:type="dxa"/>
            <w:bottom w:w="0" w:type="dxa"/>
            <w:right w:w="57" w:type="dxa"/>
          </w:tblCellMar>
        </w:tblPrEx>
        <w:trPr>
          <w:trHeight w:val="340" w:hRule="atLeast"/>
        </w:trPr>
        <w:tc>
          <w:tcPr>
            <w:tcW w:w="1322" w:type="pct"/>
          </w:tcPr>
          <w:p w14:paraId="165D288A">
            <w:pPr>
              <w:pStyle w:val="81"/>
            </w:pPr>
            <w:r>
              <w:t>ПФ</w:t>
            </w:r>
          </w:p>
        </w:tc>
        <w:tc>
          <w:tcPr>
            <w:tcW w:w="237" w:type="pct"/>
          </w:tcPr>
          <w:p w14:paraId="0EE8E86A">
            <w:pPr>
              <w:pStyle w:val="83"/>
            </w:pPr>
            <w:r>
              <w:t>—</w:t>
            </w:r>
          </w:p>
        </w:tc>
        <w:tc>
          <w:tcPr>
            <w:tcW w:w="3441" w:type="pct"/>
          </w:tcPr>
          <w:p w14:paraId="1828D96A">
            <w:pPr>
              <w:pStyle w:val="80"/>
            </w:pPr>
            <w:r>
              <w:t>Подушевое финансирование</w:t>
            </w:r>
          </w:p>
        </w:tc>
      </w:tr>
      <w:tr w14:paraId="7114D08A">
        <w:tblPrEx>
          <w:tblCellMar>
            <w:top w:w="0" w:type="dxa"/>
            <w:left w:w="57" w:type="dxa"/>
            <w:bottom w:w="0" w:type="dxa"/>
            <w:right w:w="57" w:type="dxa"/>
          </w:tblCellMar>
        </w:tblPrEx>
        <w:trPr>
          <w:trHeight w:val="340" w:hRule="atLeast"/>
        </w:trPr>
        <w:tc>
          <w:tcPr>
            <w:tcW w:w="1322" w:type="pct"/>
          </w:tcPr>
          <w:p w14:paraId="2C177DA8">
            <w:pPr>
              <w:pStyle w:val="81"/>
            </w:pPr>
            <w:r>
              <w:t>Реестр</w:t>
            </w:r>
          </w:p>
        </w:tc>
        <w:tc>
          <w:tcPr>
            <w:tcW w:w="237" w:type="pct"/>
          </w:tcPr>
          <w:p w14:paraId="1C3C4FF4">
            <w:pPr>
              <w:pStyle w:val="83"/>
            </w:pPr>
            <w:r>
              <w:t>—</w:t>
            </w:r>
          </w:p>
        </w:tc>
        <w:tc>
          <w:tcPr>
            <w:tcW w:w="3441" w:type="pct"/>
          </w:tcPr>
          <w:p w14:paraId="50D406C7">
            <w:pPr>
              <w:pStyle w:val="80"/>
            </w:pPr>
            <w:r>
              <w:t>Совокупность учтенных персонифицированных сведений за определенный (отчетный) период. Объектами учета являются застрахованные лица, медицинские услуги и т. д.</w:t>
            </w:r>
          </w:p>
        </w:tc>
      </w:tr>
      <w:tr w14:paraId="5B209602">
        <w:tblPrEx>
          <w:tblCellMar>
            <w:top w:w="0" w:type="dxa"/>
            <w:left w:w="57" w:type="dxa"/>
            <w:bottom w:w="0" w:type="dxa"/>
            <w:right w:w="57" w:type="dxa"/>
          </w:tblCellMar>
        </w:tblPrEx>
        <w:trPr>
          <w:trHeight w:val="340" w:hRule="atLeast"/>
        </w:trPr>
        <w:tc>
          <w:tcPr>
            <w:tcW w:w="1322" w:type="pct"/>
          </w:tcPr>
          <w:p w14:paraId="3E0AA867">
            <w:pPr>
              <w:pStyle w:val="81"/>
            </w:pPr>
            <w:r>
              <w:t>Роль</w:t>
            </w:r>
          </w:p>
        </w:tc>
        <w:tc>
          <w:tcPr>
            <w:tcW w:w="237" w:type="pct"/>
          </w:tcPr>
          <w:p w14:paraId="39EB5527">
            <w:pPr>
              <w:pStyle w:val="83"/>
            </w:pPr>
            <w:r>
              <w:t>—</w:t>
            </w:r>
          </w:p>
        </w:tc>
        <w:tc>
          <w:tcPr>
            <w:tcW w:w="3441" w:type="pct"/>
          </w:tcPr>
          <w:p w14:paraId="142E9BED">
            <w:pPr>
              <w:pStyle w:val="80"/>
            </w:pPr>
            <w:r>
              <w:t>Набор полномочий, предоставленных пользователю для выполнения своих функциональных задач с использованием Подсистемы</w:t>
            </w:r>
          </w:p>
        </w:tc>
      </w:tr>
      <w:tr w14:paraId="39B4E66C">
        <w:tblPrEx>
          <w:tblCellMar>
            <w:top w:w="0" w:type="dxa"/>
            <w:left w:w="57" w:type="dxa"/>
            <w:bottom w:w="0" w:type="dxa"/>
            <w:right w:w="57" w:type="dxa"/>
          </w:tblCellMar>
        </w:tblPrEx>
        <w:trPr>
          <w:trHeight w:val="340" w:hRule="atLeast"/>
        </w:trPr>
        <w:tc>
          <w:tcPr>
            <w:tcW w:w="1322" w:type="pct"/>
          </w:tcPr>
          <w:p w14:paraId="5CAB4521">
            <w:pPr>
              <w:pStyle w:val="81"/>
            </w:pPr>
            <w:r>
              <w:t>РФ</w:t>
            </w:r>
          </w:p>
        </w:tc>
        <w:tc>
          <w:tcPr>
            <w:tcW w:w="237" w:type="pct"/>
          </w:tcPr>
          <w:p w14:paraId="3187FCF9">
            <w:pPr>
              <w:pStyle w:val="83"/>
            </w:pPr>
            <w:r>
              <w:t>—</w:t>
            </w:r>
          </w:p>
        </w:tc>
        <w:tc>
          <w:tcPr>
            <w:tcW w:w="3441" w:type="pct"/>
          </w:tcPr>
          <w:p w14:paraId="4900AB35">
            <w:pPr>
              <w:pStyle w:val="80"/>
            </w:pPr>
            <w:r>
              <w:t>Российская Федерация</w:t>
            </w:r>
          </w:p>
        </w:tc>
      </w:tr>
      <w:tr w14:paraId="55549FB9">
        <w:tblPrEx>
          <w:tblCellMar>
            <w:top w:w="0" w:type="dxa"/>
            <w:left w:w="57" w:type="dxa"/>
            <w:bottom w:w="0" w:type="dxa"/>
            <w:right w:w="57" w:type="dxa"/>
          </w:tblCellMar>
        </w:tblPrEx>
        <w:trPr>
          <w:trHeight w:val="340" w:hRule="atLeast"/>
        </w:trPr>
        <w:tc>
          <w:tcPr>
            <w:tcW w:w="1322" w:type="pct"/>
          </w:tcPr>
          <w:p w14:paraId="0C27AC70">
            <w:pPr>
              <w:pStyle w:val="81"/>
            </w:pPr>
            <w:r>
              <w:t>Сеанс</w:t>
            </w:r>
          </w:p>
        </w:tc>
        <w:tc>
          <w:tcPr>
            <w:tcW w:w="237" w:type="pct"/>
          </w:tcPr>
          <w:p w14:paraId="690EF2C4">
            <w:pPr>
              <w:pStyle w:val="83"/>
            </w:pPr>
            <w:r>
              <w:t>—</w:t>
            </w:r>
          </w:p>
        </w:tc>
        <w:tc>
          <w:tcPr>
            <w:tcW w:w="3441" w:type="pct"/>
          </w:tcPr>
          <w:p w14:paraId="7D843E3D">
            <w:pPr>
              <w:pStyle w:val="80"/>
            </w:pPr>
            <w:r>
              <w:t>Сессия с учетом процедуры авторизации пользователя</w:t>
            </w:r>
          </w:p>
        </w:tc>
      </w:tr>
      <w:tr w14:paraId="6333A96D">
        <w:tblPrEx>
          <w:tblCellMar>
            <w:top w:w="0" w:type="dxa"/>
            <w:left w:w="57" w:type="dxa"/>
            <w:bottom w:w="0" w:type="dxa"/>
            <w:right w:w="57" w:type="dxa"/>
          </w:tblCellMar>
        </w:tblPrEx>
        <w:trPr>
          <w:trHeight w:val="340" w:hRule="atLeast"/>
        </w:trPr>
        <w:tc>
          <w:tcPr>
            <w:tcW w:w="1322" w:type="pct"/>
          </w:tcPr>
          <w:p w14:paraId="2A8055E6">
            <w:pPr>
              <w:pStyle w:val="81"/>
            </w:pPr>
            <w:r>
              <w:t>Сессия</w:t>
            </w:r>
          </w:p>
        </w:tc>
        <w:tc>
          <w:tcPr>
            <w:tcW w:w="237" w:type="pct"/>
          </w:tcPr>
          <w:p w14:paraId="186C1C4B">
            <w:pPr>
              <w:pStyle w:val="83"/>
            </w:pPr>
            <w:r>
              <w:t>—</w:t>
            </w:r>
          </w:p>
        </w:tc>
        <w:tc>
          <w:tcPr>
            <w:tcW w:w="3441" w:type="pct"/>
          </w:tcPr>
          <w:p w14:paraId="06862485">
            <w:pPr>
              <w:pStyle w:val="80"/>
            </w:pPr>
            <w:r>
              <w:t>Процесс информационного взаимодействия с веб-сервисом</w:t>
            </w:r>
          </w:p>
        </w:tc>
      </w:tr>
      <w:tr w14:paraId="4CE5969E">
        <w:tblPrEx>
          <w:tblCellMar>
            <w:top w:w="0" w:type="dxa"/>
            <w:left w:w="57" w:type="dxa"/>
            <w:bottom w:w="0" w:type="dxa"/>
            <w:right w:w="57" w:type="dxa"/>
          </w:tblCellMar>
        </w:tblPrEx>
        <w:trPr>
          <w:trHeight w:val="340" w:hRule="atLeast"/>
        </w:trPr>
        <w:tc>
          <w:tcPr>
            <w:tcW w:w="1322" w:type="pct"/>
          </w:tcPr>
          <w:p w14:paraId="4FF7B3C2">
            <w:pPr>
              <w:pStyle w:val="81"/>
            </w:pPr>
            <w:r>
              <w:t>СМО</w:t>
            </w:r>
          </w:p>
        </w:tc>
        <w:tc>
          <w:tcPr>
            <w:tcW w:w="237" w:type="pct"/>
          </w:tcPr>
          <w:p w14:paraId="6CB7E84C">
            <w:pPr>
              <w:pStyle w:val="83"/>
            </w:pPr>
            <w:r>
              <w:t>—</w:t>
            </w:r>
          </w:p>
        </w:tc>
        <w:tc>
          <w:tcPr>
            <w:tcW w:w="3441" w:type="pct"/>
          </w:tcPr>
          <w:p w14:paraId="6657AF1B">
            <w:pPr>
              <w:pStyle w:val="80"/>
            </w:pPr>
            <w:r>
              <w:t>Страховая медицинская организация</w:t>
            </w:r>
          </w:p>
        </w:tc>
      </w:tr>
      <w:tr w14:paraId="08511429">
        <w:tblPrEx>
          <w:tblCellMar>
            <w:top w:w="0" w:type="dxa"/>
            <w:left w:w="57" w:type="dxa"/>
            <w:bottom w:w="0" w:type="dxa"/>
            <w:right w:w="57" w:type="dxa"/>
          </w:tblCellMar>
        </w:tblPrEx>
        <w:trPr>
          <w:trHeight w:val="340" w:hRule="atLeast"/>
        </w:trPr>
        <w:tc>
          <w:tcPr>
            <w:tcW w:w="1322" w:type="pct"/>
          </w:tcPr>
          <w:p w14:paraId="59031956">
            <w:pPr>
              <w:pStyle w:val="81"/>
            </w:pPr>
            <w:r>
              <w:t>СТП</w:t>
            </w:r>
          </w:p>
        </w:tc>
        <w:tc>
          <w:tcPr>
            <w:tcW w:w="237" w:type="pct"/>
          </w:tcPr>
          <w:p w14:paraId="66EFCE1C">
            <w:pPr>
              <w:pStyle w:val="83"/>
            </w:pPr>
            <w:r>
              <w:t>—</w:t>
            </w:r>
          </w:p>
        </w:tc>
        <w:tc>
          <w:tcPr>
            <w:tcW w:w="3441" w:type="pct"/>
          </w:tcPr>
          <w:p w14:paraId="18C2E828">
            <w:pPr>
              <w:pStyle w:val="80"/>
            </w:pPr>
            <w:r>
              <w:t>Служба технической поддержки</w:t>
            </w:r>
          </w:p>
        </w:tc>
      </w:tr>
      <w:tr w14:paraId="798CD41B">
        <w:tblPrEx>
          <w:tblCellMar>
            <w:top w:w="0" w:type="dxa"/>
            <w:left w:w="57" w:type="dxa"/>
            <w:bottom w:w="0" w:type="dxa"/>
            <w:right w:w="57" w:type="dxa"/>
          </w:tblCellMar>
        </w:tblPrEx>
        <w:trPr>
          <w:trHeight w:val="340" w:hRule="atLeast"/>
        </w:trPr>
        <w:tc>
          <w:tcPr>
            <w:tcW w:w="1322" w:type="pct"/>
          </w:tcPr>
          <w:p w14:paraId="297F2344">
            <w:pPr>
              <w:pStyle w:val="81"/>
            </w:pPr>
            <w:r>
              <w:t>СТЦ</w:t>
            </w:r>
          </w:p>
        </w:tc>
        <w:tc>
          <w:tcPr>
            <w:tcW w:w="237" w:type="pct"/>
          </w:tcPr>
          <w:p w14:paraId="0D78AE4A">
            <w:pPr>
              <w:pStyle w:val="83"/>
            </w:pPr>
            <w:r>
              <w:t>—</w:t>
            </w:r>
          </w:p>
        </w:tc>
        <w:tc>
          <w:tcPr>
            <w:tcW w:w="3441" w:type="pct"/>
          </w:tcPr>
          <w:p w14:paraId="69C30467">
            <w:pPr>
              <w:pStyle w:val="80"/>
            </w:pPr>
            <w:r>
              <w:t>Документарная фиксация случая оказания медицинской помощи в условиях госпитализации в стационарных условиях</w:t>
            </w:r>
          </w:p>
        </w:tc>
      </w:tr>
      <w:tr w14:paraId="6AF20392">
        <w:tblPrEx>
          <w:tblCellMar>
            <w:top w:w="0" w:type="dxa"/>
            <w:left w:w="57" w:type="dxa"/>
            <w:bottom w:w="0" w:type="dxa"/>
            <w:right w:w="57" w:type="dxa"/>
          </w:tblCellMar>
        </w:tblPrEx>
        <w:trPr>
          <w:trHeight w:val="340" w:hRule="atLeast"/>
        </w:trPr>
        <w:tc>
          <w:tcPr>
            <w:tcW w:w="1322" w:type="pct"/>
          </w:tcPr>
          <w:p w14:paraId="69A1A9C5">
            <w:pPr>
              <w:pStyle w:val="81"/>
            </w:pPr>
            <w:r>
              <w:t>СУЗ</w:t>
            </w:r>
          </w:p>
        </w:tc>
        <w:tc>
          <w:tcPr>
            <w:tcW w:w="237" w:type="pct"/>
          </w:tcPr>
          <w:p w14:paraId="79FAEA2B">
            <w:pPr>
              <w:pStyle w:val="83"/>
            </w:pPr>
            <w:r>
              <w:t>—</w:t>
            </w:r>
          </w:p>
        </w:tc>
        <w:tc>
          <w:tcPr>
            <w:tcW w:w="3441" w:type="pct"/>
          </w:tcPr>
          <w:p w14:paraId="29F65A46">
            <w:pPr>
              <w:pStyle w:val="80"/>
            </w:pPr>
            <w:r>
              <w:t>Система учета заявок</w:t>
            </w:r>
          </w:p>
        </w:tc>
      </w:tr>
      <w:tr w14:paraId="799586C4">
        <w:tblPrEx>
          <w:tblCellMar>
            <w:top w:w="0" w:type="dxa"/>
            <w:left w:w="57" w:type="dxa"/>
            <w:bottom w:w="0" w:type="dxa"/>
            <w:right w:w="57" w:type="dxa"/>
          </w:tblCellMar>
        </w:tblPrEx>
        <w:trPr>
          <w:trHeight w:val="340" w:hRule="atLeast"/>
        </w:trPr>
        <w:tc>
          <w:tcPr>
            <w:tcW w:w="1322" w:type="pct"/>
          </w:tcPr>
          <w:p w14:paraId="617FF791">
            <w:pPr>
              <w:pStyle w:val="81"/>
            </w:pPr>
            <w:r>
              <w:t>СЭФД</w:t>
            </w:r>
          </w:p>
        </w:tc>
        <w:tc>
          <w:tcPr>
            <w:tcW w:w="237" w:type="pct"/>
          </w:tcPr>
          <w:p w14:paraId="05495583">
            <w:pPr>
              <w:pStyle w:val="83"/>
            </w:pPr>
            <w:r>
              <w:t>—</w:t>
            </w:r>
          </w:p>
        </w:tc>
        <w:tc>
          <w:tcPr>
            <w:tcW w:w="3441" w:type="pct"/>
          </w:tcPr>
          <w:p w14:paraId="69624247">
            <w:pPr>
              <w:pStyle w:val="80"/>
            </w:pPr>
            <w:r>
              <w:t>Структурированный электронный финансовый документ</w:t>
            </w:r>
          </w:p>
        </w:tc>
      </w:tr>
      <w:tr w14:paraId="029D3A77">
        <w:tblPrEx>
          <w:tblCellMar>
            <w:top w:w="0" w:type="dxa"/>
            <w:left w:w="57" w:type="dxa"/>
            <w:bottom w:w="0" w:type="dxa"/>
            <w:right w:w="57" w:type="dxa"/>
          </w:tblCellMar>
        </w:tblPrEx>
        <w:trPr>
          <w:trHeight w:val="340" w:hRule="atLeast"/>
        </w:trPr>
        <w:tc>
          <w:tcPr>
            <w:tcW w:w="1322" w:type="pct"/>
          </w:tcPr>
          <w:p w14:paraId="3B756EDA">
            <w:pPr>
              <w:pStyle w:val="81"/>
            </w:pPr>
            <w:r>
              <w:t>СЭМД</w:t>
            </w:r>
          </w:p>
        </w:tc>
        <w:tc>
          <w:tcPr>
            <w:tcW w:w="237" w:type="pct"/>
          </w:tcPr>
          <w:p w14:paraId="232A82E7">
            <w:pPr>
              <w:pStyle w:val="83"/>
            </w:pPr>
            <w:r>
              <w:t>—</w:t>
            </w:r>
          </w:p>
        </w:tc>
        <w:tc>
          <w:tcPr>
            <w:tcW w:w="3441" w:type="pct"/>
          </w:tcPr>
          <w:p w14:paraId="30ECAC5D">
            <w:pPr>
              <w:pStyle w:val="80"/>
            </w:pPr>
            <w:r>
              <w:t>Структурированный электронный медицинский документ ЕГИСЗ</w:t>
            </w:r>
          </w:p>
        </w:tc>
      </w:tr>
      <w:tr w14:paraId="36A9F85D">
        <w:tblPrEx>
          <w:tblCellMar>
            <w:top w:w="0" w:type="dxa"/>
            <w:left w:w="57" w:type="dxa"/>
            <w:bottom w:w="0" w:type="dxa"/>
            <w:right w:w="57" w:type="dxa"/>
          </w:tblCellMar>
        </w:tblPrEx>
        <w:trPr>
          <w:trHeight w:val="340" w:hRule="atLeast"/>
        </w:trPr>
        <w:tc>
          <w:tcPr>
            <w:tcW w:w="1322" w:type="pct"/>
          </w:tcPr>
          <w:p w14:paraId="785FF965">
            <w:pPr>
              <w:pStyle w:val="81"/>
            </w:pPr>
            <w:r>
              <w:t>ТФОМС</w:t>
            </w:r>
          </w:p>
        </w:tc>
        <w:tc>
          <w:tcPr>
            <w:tcW w:w="237" w:type="pct"/>
          </w:tcPr>
          <w:p w14:paraId="14EFA2FC">
            <w:pPr>
              <w:pStyle w:val="83"/>
            </w:pPr>
            <w:r>
              <w:t>—</w:t>
            </w:r>
          </w:p>
        </w:tc>
        <w:tc>
          <w:tcPr>
            <w:tcW w:w="3441" w:type="pct"/>
          </w:tcPr>
          <w:p w14:paraId="484C6ACC">
            <w:pPr>
              <w:pStyle w:val="80"/>
            </w:pPr>
            <w:r>
              <w:t>Территориальный фонд обязательного медицинского страхования</w:t>
            </w:r>
          </w:p>
        </w:tc>
      </w:tr>
      <w:tr w14:paraId="39014760">
        <w:tblPrEx>
          <w:tblCellMar>
            <w:top w:w="0" w:type="dxa"/>
            <w:left w:w="57" w:type="dxa"/>
            <w:bottom w:w="0" w:type="dxa"/>
            <w:right w:w="57" w:type="dxa"/>
          </w:tblCellMar>
        </w:tblPrEx>
        <w:trPr>
          <w:trHeight w:val="340" w:hRule="atLeast"/>
        </w:trPr>
        <w:tc>
          <w:tcPr>
            <w:tcW w:w="1322" w:type="pct"/>
          </w:tcPr>
          <w:p w14:paraId="31A9E2F9">
            <w:pPr>
              <w:pStyle w:val="81"/>
            </w:pPr>
            <w:r>
              <w:t>ФЕРЗЛ</w:t>
            </w:r>
          </w:p>
        </w:tc>
        <w:tc>
          <w:tcPr>
            <w:tcW w:w="237" w:type="pct"/>
          </w:tcPr>
          <w:p w14:paraId="5D754678">
            <w:pPr>
              <w:pStyle w:val="83"/>
            </w:pPr>
            <w:r>
              <w:t>—</w:t>
            </w:r>
          </w:p>
        </w:tc>
        <w:tc>
          <w:tcPr>
            <w:tcW w:w="3441" w:type="pct"/>
          </w:tcPr>
          <w:p w14:paraId="771D4587">
            <w:pPr>
              <w:pStyle w:val="80"/>
            </w:pPr>
            <w:r>
              <w:t>Федеральный единый регистр застрахованных лиц</w:t>
            </w:r>
          </w:p>
        </w:tc>
      </w:tr>
      <w:tr w14:paraId="1732E40E">
        <w:tblPrEx>
          <w:tblCellMar>
            <w:top w:w="0" w:type="dxa"/>
            <w:left w:w="57" w:type="dxa"/>
            <w:bottom w:w="0" w:type="dxa"/>
            <w:right w:w="57" w:type="dxa"/>
          </w:tblCellMar>
        </w:tblPrEx>
        <w:trPr>
          <w:trHeight w:val="340" w:hRule="atLeast"/>
        </w:trPr>
        <w:tc>
          <w:tcPr>
            <w:tcW w:w="1322" w:type="pct"/>
          </w:tcPr>
          <w:p w14:paraId="011C071E">
            <w:pPr>
              <w:pStyle w:val="81"/>
            </w:pPr>
            <w:r>
              <w:t>ФЛК</w:t>
            </w:r>
          </w:p>
        </w:tc>
        <w:tc>
          <w:tcPr>
            <w:tcW w:w="237" w:type="pct"/>
          </w:tcPr>
          <w:p w14:paraId="2B49CA30">
            <w:pPr>
              <w:pStyle w:val="83"/>
            </w:pPr>
            <w:r>
              <w:t>—</w:t>
            </w:r>
          </w:p>
        </w:tc>
        <w:tc>
          <w:tcPr>
            <w:tcW w:w="3441" w:type="pct"/>
          </w:tcPr>
          <w:p w14:paraId="48DE676F">
            <w:pPr>
              <w:pStyle w:val="80"/>
            </w:pPr>
            <w:r>
              <w:t>Форматно-логический контроль</w:t>
            </w:r>
          </w:p>
        </w:tc>
      </w:tr>
      <w:tr w14:paraId="216BDC13">
        <w:tblPrEx>
          <w:tblCellMar>
            <w:top w:w="0" w:type="dxa"/>
            <w:left w:w="57" w:type="dxa"/>
            <w:bottom w:w="0" w:type="dxa"/>
            <w:right w:w="57" w:type="dxa"/>
          </w:tblCellMar>
        </w:tblPrEx>
        <w:trPr>
          <w:trHeight w:val="340" w:hRule="atLeast"/>
        </w:trPr>
        <w:tc>
          <w:tcPr>
            <w:tcW w:w="1322" w:type="pct"/>
          </w:tcPr>
          <w:p w14:paraId="1663BD43">
            <w:pPr>
              <w:pStyle w:val="81"/>
            </w:pPr>
            <w:r>
              <w:t>ФОМС</w:t>
            </w:r>
          </w:p>
        </w:tc>
        <w:tc>
          <w:tcPr>
            <w:tcW w:w="237" w:type="pct"/>
          </w:tcPr>
          <w:p w14:paraId="0B607475">
            <w:pPr>
              <w:pStyle w:val="83"/>
            </w:pPr>
            <w:r>
              <w:t>—</w:t>
            </w:r>
          </w:p>
        </w:tc>
        <w:tc>
          <w:tcPr>
            <w:tcW w:w="3441" w:type="pct"/>
          </w:tcPr>
          <w:p w14:paraId="0E605A10">
            <w:pPr>
              <w:pStyle w:val="80"/>
            </w:pPr>
            <w:r>
              <w:t>Федеральный фонд обязательного медицинского страхования</w:t>
            </w:r>
          </w:p>
        </w:tc>
      </w:tr>
      <w:tr w14:paraId="131C7EC5">
        <w:tblPrEx>
          <w:tblCellMar>
            <w:top w:w="0" w:type="dxa"/>
            <w:left w:w="57" w:type="dxa"/>
            <w:bottom w:w="0" w:type="dxa"/>
            <w:right w:w="57" w:type="dxa"/>
          </w:tblCellMar>
        </w:tblPrEx>
        <w:trPr>
          <w:trHeight w:val="340" w:hRule="atLeast"/>
        </w:trPr>
        <w:tc>
          <w:tcPr>
            <w:tcW w:w="1322" w:type="pct"/>
          </w:tcPr>
          <w:p w14:paraId="41E68A96">
            <w:pPr>
              <w:pStyle w:val="81"/>
            </w:pPr>
            <w:r>
              <w:t>ФПУМП</w:t>
            </w:r>
          </w:p>
        </w:tc>
        <w:tc>
          <w:tcPr>
            <w:tcW w:w="237" w:type="pct"/>
          </w:tcPr>
          <w:p w14:paraId="445F737C">
            <w:pPr>
              <w:pStyle w:val="83"/>
            </w:pPr>
            <w:r>
              <w:t>—</w:t>
            </w:r>
          </w:p>
        </w:tc>
        <w:tc>
          <w:tcPr>
            <w:tcW w:w="3441" w:type="pct"/>
          </w:tcPr>
          <w:p w14:paraId="1CDE3178">
            <w:pPr>
              <w:pStyle w:val="80"/>
            </w:pPr>
            <w:r>
              <w:t>Федеральная подсистема персонифицированного учета медицинской помощи</w:t>
            </w:r>
          </w:p>
        </w:tc>
      </w:tr>
      <w:tr w14:paraId="5A5F20AD">
        <w:tblPrEx>
          <w:tblCellMar>
            <w:top w:w="0" w:type="dxa"/>
            <w:left w:w="57" w:type="dxa"/>
            <w:bottom w:w="0" w:type="dxa"/>
            <w:right w:w="57" w:type="dxa"/>
          </w:tblCellMar>
        </w:tblPrEx>
        <w:trPr>
          <w:trHeight w:val="340" w:hRule="atLeast"/>
        </w:trPr>
        <w:tc>
          <w:tcPr>
            <w:tcW w:w="1322" w:type="pct"/>
          </w:tcPr>
          <w:p w14:paraId="47380B8E">
            <w:pPr>
              <w:pStyle w:val="81"/>
            </w:pPr>
            <w:r>
              <w:t>ФРМО</w:t>
            </w:r>
          </w:p>
        </w:tc>
        <w:tc>
          <w:tcPr>
            <w:tcW w:w="237" w:type="pct"/>
          </w:tcPr>
          <w:p w14:paraId="4C202512">
            <w:pPr>
              <w:pStyle w:val="83"/>
            </w:pPr>
            <w:r>
              <w:t>—</w:t>
            </w:r>
          </w:p>
        </w:tc>
        <w:tc>
          <w:tcPr>
            <w:tcW w:w="3441" w:type="pct"/>
          </w:tcPr>
          <w:p w14:paraId="083AFF41">
            <w:pPr>
              <w:pStyle w:val="80"/>
              <w:rPr>
                <w:highlight w:val="yellow"/>
              </w:rPr>
            </w:pPr>
            <w:r>
              <w:t>Федеральный реестр медицинских организаций</w:t>
            </w:r>
          </w:p>
        </w:tc>
      </w:tr>
      <w:tr w14:paraId="38F64C78">
        <w:tblPrEx>
          <w:tblCellMar>
            <w:top w:w="0" w:type="dxa"/>
            <w:left w:w="57" w:type="dxa"/>
            <w:bottom w:w="0" w:type="dxa"/>
            <w:right w:w="57" w:type="dxa"/>
          </w:tblCellMar>
        </w:tblPrEx>
        <w:trPr>
          <w:trHeight w:val="340" w:hRule="atLeast"/>
        </w:trPr>
        <w:tc>
          <w:tcPr>
            <w:tcW w:w="1322" w:type="pct"/>
          </w:tcPr>
          <w:p w14:paraId="0E75724E">
            <w:pPr>
              <w:pStyle w:val="81"/>
            </w:pPr>
            <w:r>
              <w:t>ФРМР</w:t>
            </w:r>
          </w:p>
        </w:tc>
        <w:tc>
          <w:tcPr>
            <w:tcW w:w="237" w:type="pct"/>
          </w:tcPr>
          <w:p w14:paraId="4AAECB90">
            <w:pPr>
              <w:pStyle w:val="83"/>
            </w:pPr>
            <w:r>
              <w:t>—</w:t>
            </w:r>
          </w:p>
        </w:tc>
        <w:tc>
          <w:tcPr>
            <w:tcW w:w="3441" w:type="pct"/>
          </w:tcPr>
          <w:p w14:paraId="2EC43A1E">
            <w:pPr>
              <w:pStyle w:val="80"/>
              <w:rPr>
                <w:highlight w:val="yellow"/>
              </w:rPr>
            </w:pPr>
            <w:r>
              <w:t>Федеральный регистр медицинских работников</w:t>
            </w:r>
          </w:p>
        </w:tc>
      </w:tr>
      <w:tr w14:paraId="3EBF9CED">
        <w:tblPrEx>
          <w:tblCellMar>
            <w:top w:w="0" w:type="dxa"/>
            <w:left w:w="57" w:type="dxa"/>
            <w:bottom w:w="0" w:type="dxa"/>
            <w:right w:w="57" w:type="dxa"/>
          </w:tblCellMar>
        </w:tblPrEx>
        <w:trPr>
          <w:trHeight w:val="340" w:hRule="atLeast"/>
        </w:trPr>
        <w:tc>
          <w:tcPr>
            <w:tcW w:w="1322" w:type="pct"/>
          </w:tcPr>
          <w:p w14:paraId="5BE05A94">
            <w:pPr>
              <w:pStyle w:val="81"/>
            </w:pPr>
            <w:r>
              <w:t>ЭКМП</w:t>
            </w:r>
          </w:p>
        </w:tc>
        <w:tc>
          <w:tcPr>
            <w:tcW w:w="237" w:type="pct"/>
          </w:tcPr>
          <w:p w14:paraId="48FFC871">
            <w:pPr>
              <w:pStyle w:val="83"/>
            </w:pPr>
            <w:r>
              <w:t>—</w:t>
            </w:r>
          </w:p>
        </w:tc>
        <w:tc>
          <w:tcPr>
            <w:tcW w:w="3441" w:type="pct"/>
          </w:tcPr>
          <w:p w14:paraId="17B96760">
            <w:pPr>
              <w:pStyle w:val="80"/>
            </w:pPr>
            <w:bookmarkStart w:id="12" w:name="_Hlk146815381"/>
            <w:r>
              <w:t>Экспертиза качества медицинской помощи</w:t>
            </w:r>
            <w:bookmarkEnd w:id="12"/>
          </w:p>
        </w:tc>
      </w:tr>
      <w:tr w14:paraId="372DB6F7">
        <w:tblPrEx>
          <w:tblCellMar>
            <w:top w:w="0" w:type="dxa"/>
            <w:left w:w="57" w:type="dxa"/>
            <w:bottom w:w="0" w:type="dxa"/>
            <w:right w:w="57" w:type="dxa"/>
          </w:tblCellMar>
        </w:tblPrEx>
        <w:trPr>
          <w:trHeight w:val="340" w:hRule="atLeast"/>
        </w:trPr>
        <w:tc>
          <w:tcPr>
            <w:tcW w:w="1322" w:type="pct"/>
          </w:tcPr>
          <w:p w14:paraId="57F3FBC6">
            <w:pPr>
              <w:pStyle w:val="81"/>
            </w:pPr>
            <w:r>
              <w:t>ЭЦП, ЭП</w:t>
            </w:r>
          </w:p>
        </w:tc>
        <w:tc>
          <w:tcPr>
            <w:tcW w:w="237" w:type="pct"/>
          </w:tcPr>
          <w:p w14:paraId="460EC64D">
            <w:pPr>
              <w:pStyle w:val="83"/>
            </w:pPr>
            <w:r>
              <w:t>—</w:t>
            </w:r>
          </w:p>
        </w:tc>
        <w:tc>
          <w:tcPr>
            <w:tcW w:w="3441" w:type="pct"/>
          </w:tcPr>
          <w:p w14:paraId="3FDA5CFA">
            <w:pPr>
              <w:pStyle w:val="80"/>
            </w:pPr>
            <w:r>
              <w:t>Электронная цифровая подпись</w:t>
            </w:r>
          </w:p>
        </w:tc>
      </w:tr>
    </w:tbl>
    <w:p w14:paraId="5DD2D56C">
      <w:pPr>
        <w:pStyle w:val="69"/>
      </w:pPr>
    </w:p>
    <w:p w14:paraId="3C8B9132">
      <w:pPr>
        <w:pStyle w:val="57"/>
      </w:pPr>
      <w:bookmarkStart w:id="13" w:name="_Toc150261748"/>
      <w:bookmarkStart w:id="14" w:name="_Toc225866296"/>
      <w:r>
        <w:t>Введение</w:t>
      </w:r>
      <w:bookmarkEnd w:id="13"/>
      <w:bookmarkEnd w:id="14"/>
    </w:p>
    <w:p w14:paraId="1D972A9D">
      <w:pPr>
        <w:pStyle w:val="58"/>
      </w:pPr>
      <w:bookmarkStart w:id="15" w:name="_Ref130631196"/>
      <w:bookmarkStart w:id="16" w:name="_Toc225866297"/>
      <w:bookmarkStart w:id="17" w:name="_Toc150261749"/>
      <w:r>
        <w:t>Область применения</w:t>
      </w:r>
      <w:bookmarkEnd w:id="15"/>
      <w:bookmarkEnd w:id="16"/>
      <w:bookmarkEnd w:id="17"/>
    </w:p>
    <w:p w14:paraId="374A75C2">
      <w:pPr>
        <w:pStyle w:val="69"/>
      </w:pPr>
      <w:r>
        <w:t xml:space="preserve">Федеральная подсистема персонифицированного учета медицинской помощи представляет собой подсистему ГИС ОМС и применяется для автоматизации процессов персонифицированного учета сведений об оказанной медицинской помощи </w:t>
      </w:r>
      <w:bookmarkStart w:id="18" w:name="_Hlk142471753"/>
      <w:r>
        <w:t>в сфере обязательного медицинского страхования РФ</w:t>
      </w:r>
      <w:bookmarkEnd w:id="18"/>
      <w:r>
        <w:t>.</w:t>
      </w:r>
      <w:bookmarkStart w:id="19" w:name="_Toc142297212"/>
      <w:bookmarkEnd w:id="19"/>
    </w:p>
    <w:p w14:paraId="3B849A6E">
      <w:pPr>
        <w:pStyle w:val="69"/>
      </w:pPr>
      <w:r>
        <w:t>ФПУМП предназначена для сбора, учета, обработки, передачи и хранения сведений о медицинской помощи, оказанной застрахованным лицам, или лицам, которым была оказана медицинская помощь в соответствии с законодательством РФ, и служит для информационного обеспечения расчетов за оказанную медицинскую помощь между МО и плательщиками, создания условий для осуществления контроля за использованием средств обязательного медицинского страхования, обеспечения процессов контроля объемов, сроков, качества и условий предоставления медицинской помощи и предоставления данных для формирования отчетности.</w:t>
      </w:r>
    </w:p>
    <w:p w14:paraId="50B67D63">
      <w:pPr>
        <w:pStyle w:val="58"/>
      </w:pPr>
      <w:bookmarkStart w:id="20" w:name="_Toc225866298"/>
      <w:bookmarkStart w:id="21" w:name="_Toc150261751"/>
      <w:r>
        <w:t>Краткое описание возможностей</w:t>
      </w:r>
      <w:bookmarkEnd w:id="20"/>
      <w:bookmarkEnd w:id="21"/>
    </w:p>
    <w:p w14:paraId="71196A3D">
      <w:pPr>
        <w:pStyle w:val="69"/>
      </w:pPr>
      <w:r>
        <w:t>ФПУМП позволяет осуществлять централизованное формирование счетов на базе переданных МО структурированных электронных финансовых документов при помощи унифицированного алгоритма расчета стоимости МП, осуществлять контроль плановых и фактических объемов оказания МП, выполнение ФЛК и МЭК по единым алгоритмам, управлять потоками счетов между МО и плательщиками, осуществлять интеллектуальный отбор услуг на проведение контрольных экспертных мероприятий, автоматизацию проведения МЭЭ и ЭКМП.</w:t>
      </w:r>
    </w:p>
    <w:p w14:paraId="32A6FFF3">
      <w:pPr>
        <w:pStyle w:val="69"/>
      </w:pPr>
      <w:r>
        <w:t>АРМ сотрудника ТФОМС предоставляет следующие основные возможности:</w:t>
      </w:r>
    </w:p>
    <w:p w14:paraId="0D0F82B7">
      <w:pPr>
        <w:pStyle w:val="76"/>
      </w:pPr>
      <w:r>
        <w:t>мониторинг плановых и фактических показателей МП;</w:t>
      </w:r>
    </w:p>
    <w:p w14:paraId="4D35FB5C">
      <w:pPr>
        <w:pStyle w:val="76"/>
      </w:pPr>
      <w:r>
        <w:t>поиск документов по заданным параметрам;</w:t>
      </w:r>
    </w:p>
    <w:p w14:paraId="2AF8D6AF">
      <w:pPr>
        <w:pStyle w:val="76"/>
      </w:pPr>
      <w:r>
        <w:t>просмотр кратких сведений о найденных документах;</w:t>
      </w:r>
    </w:p>
    <w:p w14:paraId="2750BE62">
      <w:pPr>
        <w:pStyle w:val="76"/>
      </w:pPr>
      <w:r>
        <w:t>просмотр подробных сведений о документах;</w:t>
      </w:r>
    </w:p>
    <w:p w14:paraId="5FA48207">
      <w:pPr>
        <w:pStyle w:val="76"/>
      </w:pPr>
      <w:r>
        <w:t>просмотр ошибок ФЛК созданных документов, ошибок по счету и ошибок МЭК;</w:t>
      </w:r>
    </w:p>
    <w:p w14:paraId="451D2ADF">
      <w:pPr>
        <w:pStyle w:val="76"/>
      </w:pPr>
      <w:r>
        <w:t>поиск и просмотр сведений о реестрах счетов МО;</w:t>
      </w:r>
    </w:p>
    <w:p w14:paraId="0B028F2C">
      <w:pPr>
        <w:pStyle w:val="76"/>
      </w:pPr>
      <w:r>
        <w:t>поиск и просмотр персонального счета;</w:t>
      </w:r>
    </w:p>
    <w:p w14:paraId="7C3B3C82">
      <w:pPr>
        <w:pStyle w:val="76"/>
      </w:pPr>
      <w:r>
        <w:t>проведение МЭК, формирование и отправка ответов в МО;</w:t>
      </w:r>
    </w:p>
    <w:p w14:paraId="078D49E8">
      <w:pPr>
        <w:pStyle w:val="76"/>
      </w:pPr>
      <w:r>
        <w:t>формирование и отправка отчета (ответа) в МО;</w:t>
      </w:r>
    </w:p>
    <w:p w14:paraId="5258F45D">
      <w:pPr>
        <w:pStyle w:val="76"/>
      </w:pPr>
      <w:r>
        <w:t>поиск и просмотр сведений об экспертизе;</w:t>
      </w:r>
    </w:p>
    <w:p w14:paraId="39A37EA2">
      <w:pPr>
        <w:pStyle w:val="76"/>
      </w:pPr>
      <w:r>
        <w:t>создание и редактирование экспертизы;</w:t>
      </w:r>
    </w:p>
    <w:p w14:paraId="503DE770">
      <w:pPr>
        <w:pStyle w:val="76"/>
      </w:pPr>
      <w:r>
        <w:t>работа с документами экспертизы;</w:t>
      </w:r>
    </w:p>
    <w:p w14:paraId="71E4A4AD">
      <w:pPr>
        <w:pStyle w:val="76"/>
      </w:pPr>
      <w:r>
        <w:t>поиск и просмотр сведений об отчетах информационного обмена;</w:t>
      </w:r>
    </w:p>
    <w:p w14:paraId="6B8E7DC0">
      <w:pPr>
        <w:pStyle w:val="76"/>
      </w:pPr>
      <w:r>
        <w:t>выгрузка отчетов информационного обмена;</w:t>
      </w:r>
    </w:p>
    <w:p w14:paraId="1BAA69B2">
      <w:pPr>
        <w:pStyle w:val="76"/>
      </w:pPr>
      <w:r>
        <w:t xml:space="preserve">загрузка и редактирование плановых объемов </w:t>
      </w:r>
      <w:bookmarkStart w:id="22" w:name="_Hlk174621561"/>
      <w:r>
        <w:t>медицинской помощи</w:t>
      </w:r>
      <w:bookmarkEnd w:id="22"/>
      <w:r>
        <w:t>;</w:t>
      </w:r>
    </w:p>
    <w:p w14:paraId="73A59B2A">
      <w:pPr>
        <w:pStyle w:val="76"/>
      </w:pPr>
      <w:r>
        <w:t>просмотр данных о фактических показателях медицинской помощи;</w:t>
      </w:r>
    </w:p>
    <w:p w14:paraId="333EA1BB">
      <w:pPr>
        <w:pStyle w:val="76"/>
      </w:pPr>
      <w:r>
        <w:t>выгрузка отчетов;</w:t>
      </w:r>
    </w:p>
    <w:p w14:paraId="29E65696">
      <w:pPr>
        <w:pStyle w:val="76"/>
      </w:pPr>
      <w:r>
        <w:t>загрузка и просмотр авансов и снятий;</w:t>
      </w:r>
    </w:p>
    <w:p w14:paraId="23530018">
      <w:pPr>
        <w:pStyle w:val="76"/>
      </w:pPr>
      <w:r>
        <w:t>учет доступности коечного фонда МО.</w:t>
      </w:r>
    </w:p>
    <w:p w14:paraId="1A089D2B">
      <w:pPr>
        <w:pStyle w:val="58"/>
      </w:pPr>
      <w:bookmarkStart w:id="23" w:name="_Toc142297217"/>
      <w:bookmarkEnd w:id="23"/>
      <w:bookmarkStart w:id="24" w:name="_Toc142297218"/>
      <w:bookmarkEnd w:id="24"/>
      <w:bookmarkStart w:id="25" w:name="_Toc142297220"/>
      <w:bookmarkEnd w:id="25"/>
      <w:bookmarkStart w:id="26" w:name="_Toc142297222"/>
      <w:bookmarkEnd w:id="26"/>
      <w:bookmarkStart w:id="27" w:name="_Toc142297224"/>
      <w:bookmarkEnd w:id="27"/>
      <w:bookmarkStart w:id="28" w:name="_Toc142297219"/>
      <w:bookmarkEnd w:id="28"/>
      <w:bookmarkStart w:id="29" w:name="_Toc142297223"/>
      <w:bookmarkEnd w:id="29"/>
      <w:bookmarkStart w:id="30" w:name="_Toc142297216"/>
      <w:bookmarkEnd w:id="30"/>
      <w:bookmarkStart w:id="31" w:name="_Toc142297221"/>
      <w:bookmarkEnd w:id="31"/>
      <w:bookmarkStart w:id="32" w:name="_Toc142297215"/>
      <w:bookmarkEnd w:id="32"/>
      <w:bookmarkStart w:id="33" w:name="_Toc150261752"/>
      <w:bookmarkStart w:id="34" w:name="_Toc225866299"/>
      <w:r>
        <w:t>Уровень подготовки пользователя</w:t>
      </w:r>
      <w:bookmarkEnd w:id="33"/>
      <w:bookmarkEnd w:id="34"/>
    </w:p>
    <w:p w14:paraId="42E6070A">
      <w:pPr>
        <w:pStyle w:val="69"/>
      </w:pPr>
      <w:r>
        <w:t>К работе с подсистемой допускаются пользователи, прошедшие инструктаж по работе с ФПУМП.</w:t>
      </w:r>
    </w:p>
    <w:p w14:paraId="30878281">
      <w:pPr>
        <w:pStyle w:val="69"/>
      </w:pPr>
      <w:r>
        <w:t>Для успешной работы с ФПУМП пользователи должны обладать следующими основными навыками и знаниями:</w:t>
      </w:r>
    </w:p>
    <w:p w14:paraId="3CEB0D32">
      <w:pPr>
        <w:pStyle w:val="76"/>
      </w:pPr>
      <w:bookmarkStart w:id="35" w:name="_Hlk171681870"/>
      <w:r>
        <w:t>обращаться с вычислительной техникой в соответствии с инструкциями для пользователей средств вычислительной техники;</w:t>
      </w:r>
    </w:p>
    <w:bookmarkEnd w:id="35"/>
    <w:p w14:paraId="20660E75">
      <w:pPr>
        <w:pStyle w:val="76"/>
      </w:pPr>
      <w:r>
        <w:t>знать предметную область в объеме должностных инструкций;</w:t>
      </w:r>
    </w:p>
    <w:p w14:paraId="06456970">
      <w:pPr>
        <w:pStyle w:val="76"/>
      </w:pPr>
      <w:bookmarkStart w:id="36" w:name="_Hlk171681972"/>
      <w:r>
        <w:t xml:space="preserve">обладать </w:t>
      </w:r>
      <w:bookmarkEnd w:id="36"/>
      <w:r>
        <w:t>базовыми навыками работы на персональном компьютере с графическим пользовательским интерфейсом;</w:t>
      </w:r>
    </w:p>
    <w:p w14:paraId="2FEA9361">
      <w:pPr>
        <w:pStyle w:val="76"/>
      </w:pPr>
      <w:bookmarkStart w:id="37" w:name="_Hlk171681997"/>
      <w:r>
        <w:t>иметь опыт работы с веб-браузерами на уровне пользователя</w:t>
      </w:r>
      <w:bookmarkEnd w:id="37"/>
      <w:r>
        <w:t>;</w:t>
      </w:r>
    </w:p>
    <w:p w14:paraId="3A28DF8A">
      <w:pPr>
        <w:pStyle w:val="76"/>
      </w:pPr>
      <w:bookmarkStart w:id="38" w:name="_Hlk171682099"/>
      <w:r>
        <w:t>знать положения настоящего Руководства пользователя в части своих функциональных обязанностей.</w:t>
      </w:r>
      <w:bookmarkEnd w:id="38"/>
    </w:p>
    <w:p w14:paraId="6BA37CD0">
      <w:pPr>
        <w:pStyle w:val="58"/>
      </w:pPr>
      <w:bookmarkStart w:id="39" w:name="_Toc225866300"/>
      <w:bookmarkStart w:id="40" w:name="_Toc150261753"/>
      <w:r>
        <w:t>Перечень эксплуатационной документации для ознакомления</w:t>
      </w:r>
      <w:bookmarkEnd w:id="39"/>
      <w:bookmarkEnd w:id="40"/>
    </w:p>
    <w:p w14:paraId="5C95B29B">
      <w:pPr>
        <w:pStyle w:val="69"/>
      </w:pPr>
      <w:bookmarkStart w:id="41" w:name="_Toc461196041"/>
      <w:bookmarkStart w:id="42" w:name="_Toc91149757"/>
      <w:r>
        <w:t>Перед началом работы с ФПУМП пользователю необходимо ознакомиться с настоящим Руководством пользователя.</w:t>
      </w:r>
    </w:p>
    <w:bookmarkEnd w:id="41"/>
    <w:bookmarkEnd w:id="42"/>
    <w:p w14:paraId="29C9AAE0">
      <w:pPr>
        <w:pStyle w:val="57"/>
      </w:pPr>
      <w:bookmarkStart w:id="43" w:name="_Toc225866301"/>
      <w:bookmarkStart w:id="44" w:name="_Toc150261754"/>
      <w:r>
        <w:t>Назначение и условия применения</w:t>
      </w:r>
      <w:bookmarkEnd w:id="43"/>
      <w:bookmarkEnd w:id="44"/>
    </w:p>
    <w:p w14:paraId="184F9E75">
      <w:pPr>
        <w:pStyle w:val="58"/>
      </w:pPr>
      <w:bookmarkStart w:id="45" w:name="_Toc171415412"/>
      <w:bookmarkStart w:id="46" w:name="_Toc150261755"/>
      <w:bookmarkStart w:id="47" w:name="_Toc225866302"/>
      <w:r>
        <w:t>Виды деятельности, функции, для автоматизации которых предназначена подсистема</w:t>
      </w:r>
      <w:bookmarkEnd w:id="45"/>
      <w:bookmarkEnd w:id="46"/>
      <w:bookmarkEnd w:id="47"/>
    </w:p>
    <w:p w14:paraId="06484F43">
      <w:pPr>
        <w:pStyle w:val="69"/>
      </w:pPr>
      <w:r>
        <w:t>Участники автоматизируемых процессов ФПУМП:</w:t>
      </w:r>
    </w:p>
    <w:p w14:paraId="1F15831A">
      <w:pPr>
        <w:pStyle w:val="76"/>
      </w:pPr>
      <w:r>
        <w:t>Федеральный фонд обязательного медицинского страхования;</w:t>
      </w:r>
    </w:p>
    <w:p w14:paraId="1753340B">
      <w:pPr>
        <w:pStyle w:val="76"/>
      </w:pPr>
      <w:r>
        <w:t>территориальные фонды обязательного медицинского страхования;</w:t>
      </w:r>
    </w:p>
    <w:p w14:paraId="1EBB2929">
      <w:pPr>
        <w:pStyle w:val="76"/>
      </w:pPr>
      <w:r>
        <w:t>страховые медицинские организации;</w:t>
      </w:r>
    </w:p>
    <w:p w14:paraId="28CC1E60">
      <w:pPr>
        <w:pStyle w:val="76"/>
      </w:pPr>
      <w:r>
        <w:t>медицинские организации.</w:t>
      </w:r>
    </w:p>
    <w:p w14:paraId="7A5FE9F5">
      <w:pPr>
        <w:pStyle w:val="69"/>
      </w:pPr>
      <w:r>
        <w:t>ФПУМП обеспечивает поддержку и автоматизацию следующих процессов:</w:t>
      </w:r>
    </w:p>
    <w:p w14:paraId="4C9F4C9F">
      <w:pPr>
        <w:pStyle w:val="75"/>
      </w:pPr>
      <w:r>
        <w:t>ведение персонифицированного учета оказанной первичной медико-санитарной помощи, специализированной, в том числе высокотехнологичной, скорой, в том числе скорой специализированной, медицинской помощи, оплачиваемой за счет средств ОМС в пределах территориальной программы ОМС:</w:t>
      </w:r>
    </w:p>
    <w:p w14:paraId="615EEA19">
      <w:pPr>
        <w:pStyle w:val="77"/>
      </w:pPr>
      <w:r>
        <w:t xml:space="preserve">предоставление структурированных электронных финансовых документов об оказанной медицинской помощи </w:t>
      </w:r>
      <w:r>
        <w:rPr>
          <w:rFonts w:eastAsia="SimSun"/>
        </w:rPr>
        <w:t>(АМБ, СТЦ, СМП),</w:t>
      </w:r>
      <w:r>
        <w:t xml:space="preserve"> включающих </w:t>
      </w:r>
      <w:r>
        <w:rPr>
          <w:rFonts w:eastAsia="SimSun"/>
        </w:rPr>
        <w:t>данные, необходимые для проведения контроля качества, объемов, сроков и условий оказания медицинской помощи;</w:t>
      </w:r>
    </w:p>
    <w:p w14:paraId="1147B05B">
      <w:pPr>
        <w:pStyle w:val="77"/>
      </w:pPr>
      <w:r>
        <w:t>проведение форматно-логического контроля при создании СЭФД и контроля объемов, сроков, качества и условий оказания медицинской помощи;</w:t>
      </w:r>
    </w:p>
    <w:p w14:paraId="5FDBB12B">
      <w:pPr>
        <w:pStyle w:val="77"/>
      </w:pPr>
      <w:r>
        <w:t xml:space="preserve">регистрация сведений о направлениях на оказание медицинской помощи, формируемых в соответствии нормативными правовыми актами Российской Федерации, в составе </w:t>
      </w:r>
      <w:bookmarkStart w:id="48" w:name="_Hlk163809764"/>
      <w:r>
        <w:t>структурированных электронных финансовых документов (АМБ, СТЦ) по медицинской помощи</w:t>
      </w:r>
      <w:bookmarkEnd w:id="48"/>
      <w:r>
        <w:t>, оплачиваемой из средств территориальной программы ОМС;</w:t>
      </w:r>
    </w:p>
    <w:p w14:paraId="7792C246">
      <w:pPr>
        <w:pStyle w:val="77"/>
      </w:pPr>
      <w:bookmarkStart w:id="49" w:name="_Hlk163809788"/>
      <w:r>
        <w:t>регистрация идентификаторов СЭМД ЕГИСЗ о направлениях, эпикризах, протоколах медицинских услуг и других первичных медицинских документов, формируемых в соответствии нормативными правовыми актами Российской Федерации и переданных МО в составе структурированных электронных финансовых документов (АМБ, СМП, СТЦ) об оказанной МП, оплачиваемой из средств территориальной программы ОМС</w:t>
      </w:r>
      <w:bookmarkEnd w:id="49"/>
      <w:r>
        <w:t>;</w:t>
      </w:r>
    </w:p>
    <w:p w14:paraId="0D613C34">
      <w:pPr>
        <w:pStyle w:val="75"/>
      </w:pPr>
      <w:r>
        <w:t>расчет стоимости оказанной медицинской помощи, оплачиваемой из средств территориальной программы ОМС:</w:t>
      </w:r>
    </w:p>
    <w:p w14:paraId="6C46808D">
      <w:pPr>
        <w:pStyle w:val="77"/>
      </w:pPr>
      <w:r>
        <w:t>расчет стоимости оказанной медицинской помощи на основе сведений персонифицированного учета оказанной МО медицинской помощи;</w:t>
      </w:r>
    </w:p>
    <w:p w14:paraId="664F58E7">
      <w:pPr>
        <w:pStyle w:val="77"/>
      </w:pPr>
      <w:r>
        <w:t>формирование счетов на оплату медицинской помощи и реестров счетов;</w:t>
      </w:r>
    </w:p>
    <w:p w14:paraId="0D1270BC">
      <w:pPr>
        <w:pStyle w:val="77"/>
      </w:pPr>
      <w:r>
        <w:t>учет сумм санкций и штрафов по итогам контроля качества, объемов, сроков и условий оказания медицинской помощи, в том числе прошлых периодов при формировании счета МО;</w:t>
      </w:r>
    </w:p>
    <w:p w14:paraId="7D91198D">
      <w:pPr>
        <w:pStyle w:val="77"/>
      </w:pPr>
      <w:bookmarkStart w:id="50" w:name="_Hlk163809923"/>
      <w:r>
        <w:t>расчет подушевого финансирования МО;</w:t>
      </w:r>
    </w:p>
    <w:p w14:paraId="52D2D90E">
      <w:pPr>
        <w:pStyle w:val="77"/>
      </w:pPr>
      <w:r>
        <w:t>расчет горизонтальных (межучрежденческих) взаиморасчетов между МО;</w:t>
      </w:r>
    </w:p>
    <w:bookmarkEnd w:id="50"/>
    <w:p w14:paraId="5E9F0D06">
      <w:pPr>
        <w:pStyle w:val="75"/>
      </w:pPr>
      <w:r>
        <w:t>проведение медико-экономического контроля:</w:t>
      </w:r>
    </w:p>
    <w:p w14:paraId="4157EA40">
      <w:pPr>
        <w:pStyle w:val="77"/>
      </w:pPr>
      <w:r>
        <w:t>медико-экономического контроля по совокупности законченных случаев;</w:t>
      </w:r>
    </w:p>
    <w:p w14:paraId="77DD79D4">
      <w:pPr>
        <w:pStyle w:val="77"/>
      </w:pPr>
      <w:r>
        <w:t>повторного медико-экономического контроля по закрытому отчетному периоду;</w:t>
      </w:r>
    </w:p>
    <w:p w14:paraId="5EBBB612">
      <w:pPr>
        <w:pStyle w:val="77"/>
      </w:pPr>
      <w:r>
        <w:t>формирование ответа плательщика по счету МО с указанием сведений МЭК;</w:t>
      </w:r>
    </w:p>
    <w:p w14:paraId="2DF378EF">
      <w:pPr>
        <w:pStyle w:val="77"/>
      </w:pPr>
      <w:bookmarkStart w:id="51" w:name="_Hlk149215450"/>
      <w:r>
        <w:t>формирование итогового заключения по результатам медико-экономического контроля;</w:t>
      </w:r>
    </w:p>
    <w:bookmarkEnd w:id="51"/>
    <w:p w14:paraId="63084E85">
      <w:pPr>
        <w:pStyle w:val="75"/>
      </w:pPr>
      <w:r>
        <w:t>поддержка процессов медико-экономической экспертизы и экспертизы качества оказанной медицинской помощи:</w:t>
      </w:r>
    </w:p>
    <w:p w14:paraId="5C345C82">
      <w:pPr>
        <w:pStyle w:val="77"/>
      </w:pPr>
      <w:r>
        <w:t>отбор случаев для проведения:</w:t>
      </w:r>
    </w:p>
    <w:p w14:paraId="5FCDC7CF">
      <w:pPr>
        <w:pStyle w:val="92"/>
      </w:pPr>
      <w:r>
        <w:t>плановой медико-экономической экспертизы;</w:t>
      </w:r>
    </w:p>
    <w:p w14:paraId="74772F35">
      <w:pPr>
        <w:pStyle w:val="92"/>
      </w:pPr>
      <w:r>
        <w:t>целевой медико-экономической экспертизы;</w:t>
      </w:r>
    </w:p>
    <w:p w14:paraId="686665CD">
      <w:pPr>
        <w:pStyle w:val="92"/>
      </w:pPr>
      <w:r>
        <w:t>экспертизы качества медицинской помощи;</w:t>
      </w:r>
    </w:p>
    <w:p w14:paraId="2FB6189C">
      <w:pPr>
        <w:pStyle w:val="77"/>
      </w:pPr>
      <w:r>
        <w:t>формирование уведомлений о проведении медико-экономической экспертизы и экспертизы качества медицинской помощи;</w:t>
      </w:r>
    </w:p>
    <w:p w14:paraId="41B448D6">
      <w:pPr>
        <w:pStyle w:val="77"/>
      </w:pPr>
      <w:r>
        <w:t>предоставление сведений СЭФД для проведения медико-экономической экспертизы и экспертизы качества оказанной медицинской помощи;</w:t>
      </w:r>
    </w:p>
    <w:p w14:paraId="50B9402C">
      <w:pPr>
        <w:pStyle w:val="77"/>
      </w:pPr>
      <w:r>
        <w:t>формирование итогового заключения по результатам медико-экономической экспертизы и экспертизы качества медицинской помощи;</w:t>
      </w:r>
    </w:p>
    <w:p w14:paraId="6DDFBB7D">
      <w:pPr>
        <w:pStyle w:val="75"/>
      </w:pPr>
      <w:r>
        <w:t>процессы расчетов за оказанную медицинскую помощь, оплачиваемую из средств территориальной программы ОМС, на основе формируемых реестров счетов и счетов на оплату медицинской помощи:</w:t>
      </w:r>
    </w:p>
    <w:p w14:paraId="3B288CA4">
      <w:pPr>
        <w:pStyle w:val="77"/>
      </w:pPr>
      <w:r>
        <w:t>загрузка сведений об авансировании МО на оказание медицинской помощи;</w:t>
      </w:r>
    </w:p>
    <w:p w14:paraId="1DA84E84">
      <w:pPr>
        <w:pStyle w:val="77"/>
      </w:pPr>
      <w:r>
        <w:t>обеспечение процесса приемки счетов МО на оплату медицинской помощи и формирование ответа плательщика;</w:t>
      </w:r>
    </w:p>
    <w:p w14:paraId="67032E32">
      <w:pPr>
        <w:pStyle w:val="77"/>
      </w:pPr>
      <w:r>
        <w:t>загрузка выставленных сумм санкций и штрафов МО по итогам контроля качества, объемов, сроков и условий оказания медицинской помощи;</w:t>
      </w:r>
    </w:p>
    <w:p w14:paraId="001026F5">
      <w:pPr>
        <w:pStyle w:val="75"/>
      </w:pPr>
      <w:r>
        <w:t>мониторинг плановых/фактических объемов медицинской помощи МО:</w:t>
      </w:r>
    </w:p>
    <w:p w14:paraId="06B342F9">
      <w:pPr>
        <w:pStyle w:val="77"/>
      </w:pPr>
      <w:r>
        <w:t>загрузка плановых годовых объемов медицинской помощи МО в соответствии с территориальной программой;</w:t>
      </w:r>
    </w:p>
    <w:p w14:paraId="261D0641">
      <w:pPr>
        <w:pStyle w:val="77"/>
      </w:pPr>
      <w:r>
        <w:t>контроль выполнения плановых объемов медицинской помощи;</w:t>
      </w:r>
    </w:p>
    <w:p w14:paraId="4A35A20B">
      <w:pPr>
        <w:pStyle w:val="77"/>
      </w:pPr>
      <w:r>
        <w:t>формирование аналитических отчетов по исполнению МО объемов медицинской помощи, оплачиваемой из средств территориальной программы ОМС;</w:t>
      </w:r>
    </w:p>
    <w:p w14:paraId="570BFD4B">
      <w:pPr>
        <w:pStyle w:val="75"/>
      </w:pPr>
      <w:bookmarkStart w:id="52" w:name="_Toc171687632"/>
      <w:bookmarkStart w:id="53" w:name="_Hlk171689285"/>
      <w:r>
        <w:t>учет доступности коечного фонда МО:</w:t>
      </w:r>
    </w:p>
    <w:p w14:paraId="02010449">
      <w:pPr>
        <w:pStyle w:val="77"/>
      </w:pPr>
      <w:r>
        <w:t>расчет занятого/доступного коечного фонда МО по сведениям ФРМО и данных СЭФД;</w:t>
      </w:r>
    </w:p>
    <w:p w14:paraId="7C0E166B">
      <w:pPr>
        <w:pStyle w:val="77"/>
      </w:pPr>
      <w:r>
        <w:t>формирование отчета о доступности коечного фонда.</w:t>
      </w:r>
    </w:p>
    <w:p w14:paraId="5D3F6C51">
      <w:pPr>
        <w:pStyle w:val="58"/>
      </w:pPr>
      <w:bookmarkStart w:id="54" w:name="_Toc225866303"/>
      <w:r>
        <w:t>Требования к соблюдению информационной безопасности при работе с подсистемой</w:t>
      </w:r>
      <w:bookmarkEnd w:id="52"/>
      <w:bookmarkEnd w:id="54"/>
    </w:p>
    <w:p w14:paraId="652B416E">
      <w:pPr>
        <w:pStyle w:val="69"/>
      </w:pPr>
      <w:r>
        <w:t>Все сотрудники, выполняющие функции с использованием графического интерфейса пользователя ФПУМП, должны четко знать и строго выполнять установленные правила и обязанности по доступу к защищаемым объектам и соблюдению принятого режима безопасности данных.</w:t>
      </w:r>
    </w:p>
    <w:p w14:paraId="477A0947">
      <w:pPr>
        <w:pStyle w:val="69"/>
      </w:pPr>
      <w:r>
        <w:t>Сотрудники, использующие технические средства аутентификации, должны обеспечивать сохранность идентификаторов (электронных ключей, токенов, паролей) и не допускать несанкционированного доступа к ним, а также возможность их утери или использования третьими лицами.</w:t>
      </w:r>
    </w:p>
    <w:p w14:paraId="2FC2CD59">
      <w:pPr>
        <w:pStyle w:val="69"/>
      </w:pPr>
      <w:r>
        <w:t>Сотрудники должны следовать установленным процедурам поддержания режима безопасности данных при выборе и использовании паролей (если не используются технические средства аутентификации).</w:t>
      </w:r>
    </w:p>
    <w:p w14:paraId="5F4CA007">
      <w:pPr>
        <w:pStyle w:val="69"/>
      </w:pPr>
      <w:r>
        <w:t>При работе с данными в Подсистеме сотрудники обязаны обеспечить отсутствие возможности просмотра данных третьими лицами с мониторов АРМ или терминалов.</w:t>
      </w:r>
    </w:p>
    <w:p w14:paraId="19A41E70">
      <w:pPr>
        <w:pStyle w:val="69"/>
      </w:pPr>
      <w:r>
        <w:t>При завершении работы с Подсистемой сотрудники обязаны защитить АРМ или терминалы с помощью блокировки ключом или эквивалентного средства контроля, например, доступом по паролю, если не используются более сильные средства защиты.</w:t>
      </w:r>
    </w:p>
    <w:p w14:paraId="19CED9BC">
      <w:pPr>
        <w:pStyle w:val="69"/>
      </w:pPr>
      <w:r>
        <w:t>Сотрудники обязаны без промедления сообщать обо всех наблюдаемых или подозрительных случаях работы Подсистемы, могущих повлечь за собой угрозы безопасности данных, а также о выявленных ими событиях, затрагивающих безопасность данных, руководству подразделения и лицу, отвечающему за немедленное реагирование на угрозы безопасности данных.</w:t>
      </w:r>
    </w:p>
    <w:bookmarkEnd w:id="53"/>
    <w:p w14:paraId="1DBD21CA">
      <w:pPr>
        <w:pStyle w:val="58"/>
      </w:pPr>
      <w:bookmarkStart w:id="55" w:name="_Toc225866304"/>
      <w:bookmarkStart w:id="56" w:name="_Toc150261756"/>
      <w:r>
        <w:t>Условия применения</w:t>
      </w:r>
      <w:bookmarkEnd w:id="55"/>
      <w:bookmarkEnd w:id="56"/>
    </w:p>
    <w:p w14:paraId="46A88AF0">
      <w:pPr>
        <w:pStyle w:val="69"/>
      </w:pPr>
      <w:r>
        <w:t>Минимальные требования к техническому обеспечению автоматизированного рабочего места (АРМ) пользователя ФПУМП:</w:t>
      </w:r>
    </w:p>
    <w:p w14:paraId="4DFC2903">
      <w:pPr>
        <w:pStyle w:val="76"/>
      </w:pPr>
      <w:bookmarkStart w:id="57" w:name="_Hlk171689299"/>
      <w:bookmarkStart w:id="58" w:name="_Hlk130804625"/>
      <w:r>
        <w:t xml:space="preserve">центральный </w:t>
      </w:r>
      <w:bookmarkEnd w:id="57"/>
      <w:r>
        <w:t xml:space="preserve">процессор с тактовой частотой не менее 2 ГГц, количество ядер </w:t>
      </w:r>
      <w:bookmarkStart w:id="59" w:name="_Hlk171689307"/>
      <w:r>
        <w:t xml:space="preserve">процессора </w:t>
      </w:r>
      <w:bookmarkEnd w:id="59"/>
      <w:r>
        <w:t>не менее 2;</w:t>
      </w:r>
    </w:p>
    <w:p w14:paraId="56336E1C">
      <w:pPr>
        <w:pStyle w:val="76"/>
      </w:pPr>
      <w:r>
        <w:t>оперативная память не менее 4 ГБ;</w:t>
      </w:r>
    </w:p>
    <w:p w14:paraId="2260F2D2">
      <w:pPr>
        <w:pStyle w:val="76"/>
      </w:pPr>
      <w:r>
        <w:t>свободное место на жестком диске не менее 300 ГБ;</w:t>
      </w:r>
    </w:p>
    <w:p w14:paraId="7DEBCD63">
      <w:pPr>
        <w:pStyle w:val="76"/>
      </w:pPr>
      <w:r>
        <w:t>графическая карта с видеопамятью не менее 128 МБ, допускается интегрированная графическая карта аналогичных характеристик;</w:t>
      </w:r>
    </w:p>
    <w:p w14:paraId="705B52EA">
      <w:pPr>
        <w:pStyle w:val="76"/>
      </w:pPr>
      <w:r>
        <w:t>сетевая карта с пропускной способностью 100 Мбит/с;</w:t>
      </w:r>
    </w:p>
    <w:p w14:paraId="004E4B89">
      <w:pPr>
        <w:pStyle w:val="76"/>
      </w:pPr>
      <w:r>
        <w:t>монитор с разрешением не менее 1920х1080;</w:t>
      </w:r>
    </w:p>
    <w:p w14:paraId="51F0655B">
      <w:pPr>
        <w:pStyle w:val="76"/>
      </w:pPr>
      <w:r>
        <w:t xml:space="preserve">стандартная клавиатура с раскладкой </w:t>
      </w:r>
      <w:r>
        <w:rPr>
          <w:lang w:val="en-US"/>
        </w:rPr>
        <w:t>RUS</w:t>
      </w:r>
      <w:r>
        <w:t>/</w:t>
      </w:r>
      <w:r>
        <w:rPr>
          <w:lang w:val="en-US"/>
        </w:rPr>
        <w:t>ENG</w:t>
      </w:r>
      <w:r>
        <w:t>;</w:t>
      </w:r>
    </w:p>
    <w:p w14:paraId="02C44527">
      <w:pPr>
        <w:pStyle w:val="76"/>
      </w:pPr>
      <w:r>
        <w:t>манипулятор типа мышь;</w:t>
      </w:r>
    </w:p>
    <w:p w14:paraId="5C0EAD3D">
      <w:pPr>
        <w:pStyle w:val="76"/>
      </w:pPr>
      <w:r>
        <w:t>доступ в защищенную сеть передачи данных ФОМС с рекомендованной пропускной способностью 100 Мбит/с.</w:t>
      </w:r>
    </w:p>
    <w:bookmarkEnd w:id="58"/>
    <w:p w14:paraId="4FBBB919">
      <w:pPr>
        <w:pStyle w:val="76"/>
      </w:pPr>
      <w:bookmarkStart w:id="60" w:name="_Hlk171690661"/>
      <w:r>
        <w:t>интернет-обозреватель с поддержкой HTML 5:</w:t>
      </w:r>
    </w:p>
    <w:bookmarkEnd w:id="60"/>
    <w:p w14:paraId="60BB2E34">
      <w:pPr>
        <w:pStyle w:val="78"/>
      </w:pPr>
      <w:bookmarkStart w:id="61" w:name="_Hlk146291926"/>
      <w:r>
        <w:t>Google Chrome не ниже версии 63.0 (без поддержки TLS);</w:t>
      </w:r>
    </w:p>
    <w:p w14:paraId="07E866DF">
      <w:pPr>
        <w:pStyle w:val="78"/>
      </w:pPr>
      <w:r>
        <w:t>Яндекс.Браузер не ниже версии 21.6.</w:t>
      </w:r>
    </w:p>
    <w:p w14:paraId="1F15A8C5">
      <w:pPr>
        <w:pStyle w:val="69"/>
      </w:pPr>
      <w:bookmarkStart w:id="62" w:name="_Hlk172212276"/>
      <w:r>
        <w:t>На рабочей станции пользователя с правом подписи дополнительно должно быть установлено следующее программное обеспечение:</w:t>
      </w:r>
    </w:p>
    <w:p w14:paraId="2A462B15">
      <w:pPr>
        <w:pStyle w:val="76"/>
      </w:pPr>
      <w:r>
        <w:t>КриптоПро CSP — программное обеспечение для создания юридически значимой электронной подписи (ЭП) и проверки ее;</w:t>
      </w:r>
    </w:p>
    <w:p w14:paraId="10E5DCDB">
      <w:pPr>
        <w:pStyle w:val="76"/>
      </w:pPr>
      <w:r>
        <w:t xml:space="preserve">КриптоПро ЭЦП </w:t>
      </w:r>
      <w:r>
        <w:rPr>
          <w:lang w:val="en-US"/>
        </w:rPr>
        <w:t>Browser</w:t>
      </w:r>
      <w:r>
        <w:t xml:space="preserve"> </w:t>
      </w:r>
      <w:r>
        <w:rPr>
          <w:lang w:val="en-US"/>
        </w:rPr>
        <w:t>plug</w:t>
      </w:r>
      <w:r>
        <w:t>-</w:t>
      </w:r>
      <w:r>
        <w:rPr>
          <w:lang w:val="en-US"/>
        </w:rPr>
        <w:t>in</w:t>
      </w:r>
      <w:r>
        <w:t xml:space="preserve"> — приложение для создания и проверки ЭП на веб-страницах;</w:t>
      </w:r>
    </w:p>
    <w:p w14:paraId="2E76C0AE">
      <w:pPr>
        <w:pStyle w:val="76"/>
      </w:pPr>
      <w:r>
        <w:t xml:space="preserve">корневой сертификат </w:t>
      </w:r>
      <w:bookmarkStart w:id="63" w:name="_Hlk164167493"/>
      <w:r>
        <w:t>удостоверяющего центра (УЦ).</w:t>
      </w:r>
      <w:bookmarkEnd w:id="63"/>
    </w:p>
    <w:bookmarkEnd w:id="61"/>
    <w:p w14:paraId="05C18DDA">
      <w:pPr>
        <w:pStyle w:val="69"/>
      </w:pPr>
      <w:r>
        <w:t>АРМ пользователей ФПУМП должны быть подключены к защищенной сети передачи данных ФОМС</w:t>
      </w:r>
      <w:bookmarkEnd w:id="62"/>
      <w:r>
        <w:t>.</w:t>
      </w:r>
    </w:p>
    <w:p w14:paraId="1D424ADE">
      <w:pPr>
        <w:pStyle w:val="58"/>
      </w:pPr>
      <w:bookmarkStart w:id="64" w:name="_Toc225866305"/>
      <w:bookmarkStart w:id="65" w:name="_Toc171344433"/>
      <w:r>
        <w:t>Актуализация сведений НСИ</w:t>
      </w:r>
      <w:bookmarkEnd w:id="64"/>
      <w:bookmarkEnd w:id="65"/>
    </w:p>
    <w:p w14:paraId="133EE764">
      <w:pPr>
        <w:pStyle w:val="69"/>
        <w:keepNext/>
      </w:pPr>
      <w:r>
        <w:t>До начала отчетного периода в систему мастер НСИ/ФНСИ должны быть переданы и загружены:</w:t>
      </w:r>
    </w:p>
    <w:p w14:paraId="6F3F9867">
      <w:pPr>
        <w:pStyle w:val="76"/>
      </w:pPr>
      <w:r>
        <w:t>данные регионозависимых справочников;</w:t>
      </w:r>
    </w:p>
    <w:p w14:paraId="75C6A6A5">
      <w:pPr>
        <w:pStyle w:val="76"/>
      </w:pPr>
      <w:r>
        <w:t>данные тарифных соглашений.</w:t>
      </w:r>
    </w:p>
    <w:p w14:paraId="60F3F243">
      <w:pPr>
        <w:pStyle w:val="71"/>
      </w:pPr>
      <w:r>
        <w:rPr>
          <w:rStyle w:val="72"/>
        </w:rPr>
        <w:t>Примечание —</w:t>
      </w:r>
      <w:r>
        <w:t xml:space="preserve"> Тарифное соглашение определяет набор ставок и коэффициентов из соответствующих справочников, может влиять на выбор группы КСГ, на этапе учета максимальной стоимости выбираемой группы КСГ. Определяет специфику оплаты ряда услуг (диализ по территориальной программе ОМС оплачивается за услугу, в счетах ФОМС по ФМО — по методике оплаты по КСГ).</w:t>
      </w:r>
    </w:p>
    <w:p w14:paraId="0AF86F14">
      <w:pPr>
        <w:pStyle w:val="57"/>
      </w:pPr>
      <w:bookmarkStart w:id="66" w:name="_Toc150261757"/>
      <w:bookmarkStart w:id="67" w:name="_Toc225866306"/>
      <w:r>
        <w:t>Подготовка к работе</w:t>
      </w:r>
      <w:bookmarkEnd w:id="66"/>
      <w:bookmarkEnd w:id="67"/>
    </w:p>
    <w:p w14:paraId="5D454E88">
      <w:pPr>
        <w:pStyle w:val="58"/>
      </w:pPr>
      <w:bookmarkStart w:id="68" w:name="_Toc150261758"/>
      <w:bookmarkStart w:id="69" w:name="_Toc225866307"/>
      <w:r>
        <w:t>Состав и содержание дистрибутивного носителя данных</w:t>
      </w:r>
      <w:bookmarkEnd w:id="68"/>
      <w:bookmarkEnd w:id="69"/>
    </w:p>
    <w:p w14:paraId="4F2A76FB">
      <w:pPr>
        <w:pStyle w:val="69"/>
      </w:pPr>
      <w:r>
        <w:t>Для работы с ФПУМП установочный дистрибутив не требуется.</w:t>
      </w:r>
    </w:p>
    <w:p w14:paraId="720B5681">
      <w:pPr>
        <w:pStyle w:val="58"/>
      </w:pPr>
      <w:bookmarkStart w:id="70" w:name="_Toc150261759"/>
      <w:bookmarkStart w:id="71" w:name="_Toc225866308"/>
      <w:r>
        <w:t>Предварительные условия</w:t>
      </w:r>
      <w:bookmarkEnd w:id="70"/>
      <w:bookmarkEnd w:id="71"/>
    </w:p>
    <w:p w14:paraId="16701538">
      <w:pPr>
        <w:pStyle w:val="69"/>
      </w:pPr>
      <w:r>
        <w:t>Первоначальная настройка подсистемы пользователем не требуется.</w:t>
      </w:r>
    </w:p>
    <w:p w14:paraId="60DCDB30">
      <w:pPr>
        <w:pStyle w:val="69"/>
      </w:pPr>
      <w:r>
        <w:t>До начала работы пользователю необходимо:</w:t>
      </w:r>
    </w:p>
    <w:p w14:paraId="0343F568">
      <w:pPr>
        <w:pStyle w:val="76"/>
      </w:pPr>
      <w:r>
        <w:t>ознакомиться с настоящим руководством;</w:t>
      </w:r>
    </w:p>
    <w:p w14:paraId="063C39DB">
      <w:pPr>
        <w:pStyle w:val="76"/>
      </w:pPr>
      <w:r>
        <w:t>получить доступ к ФПУМП</w:t>
      </w:r>
      <w:r>
        <w:rPr>
          <w:rStyle w:val="13"/>
        </w:rPr>
        <w:footnoteReference w:id="0"/>
      </w:r>
      <w:r>
        <w:t>.</w:t>
      </w:r>
    </w:p>
    <w:p w14:paraId="3E887834">
      <w:pPr>
        <w:pStyle w:val="69"/>
      </w:pPr>
      <w:bookmarkStart w:id="72" w:name="_Hlk206076811"/>
      <w:r>
        <w:t>Данные учетной записи пользователя (логин и пароль), а также ссылка для входа в подсистему предоставляются пользователю посредством электронной почты. Адресная рассылка с данными учетной записи осуществляется уполномоченными сотрудниками службы технической поддержки с адреса электронной почты GIS_OMS_Support@ffoms.gov.</w:t>
      </w:r>
    </w:p>
    <w:p w14:paraId="712B5D45">
      <w:pPr>
        <w:pStyle w:val="69"/>
      </w:pPr>
      <w:r>
        <w:t>Права доступа разграничены для групп пользователей в соответствии с их правами и</w:t>
      </w:r>
      <w:r>
        <w:rPr>
          <w:lang w:val="en-US"/>
        </w:rPr>
        <w:t> </w:t>
      </w:r>
      <w:r>
        <w:t>полномочиями.</w:t>
      </w:r>
    </w:p>
    <w:bookmarkEnd w:id="72"/>
    <w:p w14:paraId="2CF363D7">
      <w:pPr>
        <w:pStyle w:val="69"/>
      </w:pPr>
      <w:r>
        <w:t>Использование учетной записи пользователя ФПУМП другими лицами недопустимо.</w:t>
      </w:r>
    </w:p>
    <w:p w14:paraId="6C3FBB16">
      <w:pPr>
        <w:pStyle w:val="58"/>
      </w:pPr>
      <w:bookmarkStart w:id="73" w:name="_Ref142357128"/>
      <w:bookmarkStart w:id="74" w:name="_Toc150261760"/>
      <w:bookmarkStart w:id="75" w:name="_Toc225866309"/>
      <w:bookmarkStart w:id="76" w:name="_Ref133516119"/>
      <w:r>
        <w:t>Порядок запуска подсистемы</w:t>
      </w:r>
      <w:bookmarkEnd w:id="73"/>
      <w:bookmarkEnd w:id="74"/>
      <w:bookmarkEnd w:id="75"/>
      <w:bookmarkEnd w:id="76"/>
    </w:p>
    <w:p w14:paraId="3E162A40">
      <w:pPr>
        <w:pStyle w:val="69"/>
      </w:pPr>
      <w:r>
        <w:t>Для входа в подсистему на рабочем месте пользователя необходимо выполнить следующие действия:</w:t>
      </w:r>
      <w:bookmarkStart w:id="77" w:name="_Toc130630546"/>
      <w:bookmarkEnd w:id="77"/>
      <w:bookmarkStart w:id="78" w:name="_Toc130575114"/>
      <w:bookmarkEnd w:id="78"/>
      <w:bookmarkStart w:id="79" w:name="_Toc130575003"/>
      <w:bookmarkEnd w:id="79"/>
      <w:bookmarkStart w:id="80" w:name="_Toc130572240"/>
      <w:bookmarkEnd w:id="80"/>
      <w:bookmarkStart w:id="81" w:name="_Toc130574885"/>
      <w:bookmarkEnd w:id="81"/>
      <w:bookmarkStart w:id="82" w:name="_Toc130565805"/>
      <w:bookmarkEnd w:id="82"/>
    </w:p>
    <w:p w14:paraId="00622848">
      <w:pPr>
        <w:pStyle w:val="75"/>
        <w:numPr>
          <w:ilvl w:val="0"/>
          <w:numId w:val="18"/>
        </w:numPr>
      </w:pPr>
      <w:r>
        <w:t>запустить веб-браузер и ввести в адресной строке адрес ФПУМП;</w:t>
      </w:r>
    </w:p>
    <w:p w14:paraId="50B012F8">
      <w:pPr>
        <w:pStyle w:val="75"/>
        <w:numPr>
          <w:ilvl w:val="0"/>
          <w:numId w:val="18"/>
        </w:numPr>
      </w:pPr>
      <w:r>
        <w:t>для авторизации посредством ЕСИА в открывшемся окне входа в подсистему (рис. </w:t>
      </w:r>
      <w:r>
        <w:fldChar w:fldCharType="begin"/>
      </w:r>
      <w:r>
        <w:instrText xml:space="preserve"> REF  _Ref119868225 \h\#\0  \* MERGEFORMAT </w:instrText>
      </w:r>
      <w:r>
        <w:fldChar w:fldCharType="separate"/>
      </w:r>
      <w:r>
        <w:t>1</w:t>
      </w:r>
      <w:r>
        <w:fldChar w:fldCharType="end"/>
      </w:r>
      <w:r>
        <w:t>) нажать кнопку «Войти через ЕСИА» и выполнить инструкции по авторизации в системе ЕСИА;</w:t>
      </w:r>
    </w:p>
    <w:p w14:paraId="0DD49282">
      <w:pPr>
        <w:pStyle w:val="71"/>
      </w:pPr>
      <w:r>
        <w:rPr>
          <w:rStyle w:val="72"/>
        </w:rPr>
        <w:t>Примечание —</w:t>
      </w:r>
      <w:r>
        <w:t xml:space="preserve"> </w:t>
      </w:r>
      <w:bookmarkStart w:id="83" w:name="_Hlk184292495"/>
      <w:r>
        <w:t xml:space="preserve">для авторизации посредством ЕСИА </w:t>
      </w:r>
      <w:bookmarkEnd w:id="83"/>
      <w:r>
        <w:t>руководитель организации должен настроить учетную запись пользователя для данной организации в ЕСИА.</w:t>
      </w:r>
    </w:p>
    <w:p w14:paraId="034B8F25">
      <w:pPr>
        <w:pStyle w:val="75"/>
        <w:numPr>
          <w:ilvl w:val="0"/>
          <w:numId w:val="18"/>
        </w:numPr>
      </w:pPr>
      <w:r>
        <w:t xml:space="preserve">для авторизации посредством сервиса </w:t>
      </w:r>
      <w:r>
        <w:rPr>
          <w:lang w:val="en-US"/>
        </w:rPr>
        <w:t>IAM</w:t>
      </w:r>
      <w:r>
        <w:t xml:space="preserve"> ЕЦП «ГосТех» ввести данные учетной записи (логин и пароль) и нажать кнопку «Войти» (рис. </w:t>
      </w:r>
      <w:r>
        <w:fldChar w:fldCharType="begin"/>
      </w:r>
      <w:r>
        <w:instrText xml:space="preserve"> REF  _Ref119868225 \h\#\0  \* MERGEFORMAT </w:instrText>
      </w:r>
      <w:r>
        <w:fldChar w:fldCharType="separate"/>
      </w:r>
      <w:r>
        <w:t>1</w:t>
      </w:r>
      <w:r>
        <w:fldChar w:fldCharType="end"/>
      </w:r>
      <w:r>
        <w:t>)</w:t>
      </w:r>
    </w:p>
    <w:p w14:paraId="29C088AF">
      <w:pPr>
        <w:pStyle w:val="73"/>
      </w:pPr>
      <w:r>
        <w:drawing>
          <wp:inline distT="0" distB="0" distL="0" distR="0">
            <wp:extent cx="2231390" cy="2887345"/>
            <wp:effectExtent l="19050" t="19050" r="16510" b="27305"/>
            <wp:docPr id="8267986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798681" name="Рисунок 1"/>
                    <pic:cNvPicPr>
                      <a:picLocks noChangeAspect="1"/>
                    </pic:cNvPicPr>
                  </pic:nvPicPr>
                  <pic:blipFill>
                    <a:blip r:embed="rId11"/>
                    <a:stretch>
                      <a:fillRect/>
                    </a:stretch>
                  </pic:blipFill>
                  <pic:spPr>
                    <a:xfrm>
                      <a:off x="0" y="0"/>
                      <a:ext cx="2232000" cy="2887476"/>
                    </a:xfrm>
                    <a:prstGeom prst="rect">
                      <a:avLst/>
                    </a:prstGeom>
                    <a:noFill/>
                    <a:ln w="3175">
                      <a:solidFill>
                        <a:schemeClr val="tx1"/>
                      </a:solidFill>
                    </a:ln>
                  </pic:spPr>
                </pic:pic>
              </a:graphicData>
            </a:graphic>
          </wp:inline>
        </w:drawing>
      </w:r>
    </w:p>
    <w:p w14:paraId="5A486948">
      <w:pPr>
        <w:pStyle w:val="74"/>
      </w:pPr>
      <w:bookmarkStart w:id="84" w:name="_Ref119868225"/>
      <w:bookmarkStart w:id="85" w:name="_Ref119868209"/>
      <w:r>
        <w:t xml:space="preserve">Рисунок </w:t>
      </w:r>
      <w:r>
        <w:fldChar w:fldCharType="begin"/>
      </w:r>
      <w:r>
        <w:instrText xml:space="preserve"> SEQ Рисунок \* ARABIC </w:instrText>
      </w:r>
      <w:r>
        <w:fldChar w:fldCharType="separate"/>
      </w:r>
      <w:r>
        <w:t>1</w:t>
      </w:r>
      <w:r>
        <w:fldChar w:fldCharType="end"/>
      </w:r>
      <w:bookmarkEnd w:id="84"/>
      <w:r>
        <w:t xml:space="preserve"> — Окно входа в подсистему</w:t>
      </w:r>
      <w:bookmarkEnd w:id="85"/>
    </w:p>
    <w:p w14:paraId="705D0D59">
      <w:pPr>
        <w:pStyle w:val="69"/>
      </w:pPr>
      <w:r>
        <w:t>При неправильном вводе логина и (или) пароля отобразится сообщение об ошибке (рис. </w:t>
      </w:r>
      <w:r>
        <w:fldChar w:fldCharType="begin"/>
      </w:r>
      <w:r>
        <w:instrText xml:space="preserve"> REF  _Ref139305806 \h\#\0   \* MERGEFORMAT </w:instrText>
      </w:r>
      <w:r>
        <w:fldChar w:fldCharType="separate"/>
      </w:r>
      <w:r>
        <w:t>2</w:t>
      </w:r>
      <w:r>
        <w:fldChar w:fldCharType="end"/>
      </w:r>
      <w:r>
        <w:t xml:space="preserve">). В этом случае следует повторить ввод данных, учитывая регистр и раскладку клавиатуры. Для восстановления пароля следует нажать «Восстановить пароль». Отобразится окно восстановления пароля (рис. </w:t>
      </w:r>
      <w:r>
        <w:fldChar w:fldCharType="begin"/>
      </w:r>
      <w:r>
        <w:instrText xml:space="preserve"> REF  _Ref224056326 \h \t \#\0 \* MERGEFORMAT </w:instrText>
      </w:r>
      <w:r>
        <w:fldChar w:fldCharType="separate"/>
      </w:r>
      <w:r>
        <w:t>3</w:t>
      </w:r>
      <w:r>
        <w:fldChar w:fldCharType="end"/>
      </w:r>
      <w:r>
        <w:t>).</w:t>
      </w:r>
    </w:p>
    <w:p w14:paraId="3CD606EB">
      <w:pPr>
        <w:pStyle w:val="73"/>
      </w:pPr>
      <w:r>
        <w:drawing>
          <wp:inline distT="0" distB="0" distL="0" distR="0">
            <wp:extent cx="2231390" cy="2878455"/>
            <wp:effectExtent l="19050" t="19050" r="16510" b="17145"/>
            <wp:docPr id="10194422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442262" name="Рисунок 1"/>
                    <pic:cNvPicPr>
                      <a:picLocks noChangeAspect="1"/>
                    </pic:cNvPicPr>
                  </pic:nvPicPr>
                  <pic:blipFill>
                    <a:blip r:embed="rId12"/>
                    <a:stretch>
                      <a:fillRect/>
                    </a:stretch>
                  </pic:blipFill>
                  <pic:spPr>
                    <a:xfrm>
                      <a:off x="0" y="0"/>
                      <a:ext cx="2232000" cy="2878554"/>
                    </a:xfrm>
                    <a:prstGeom prst="rect">
                      <a:avLst/>
                    </a:prstGeom>
                    <a:noFill/>
                    <a:ln w="3175">
                      <a:solidFill>
                        <a:schemeClr val="tx1"/>
                      </a:solidFill>
                    </a:ln>
                  </pic:spPr>
                </pic:pic>
              </a:graphicData>
            </a:graphic>
          </wp:inline>
        </w:drawing>
      </w:r>
    </w:p>
    <w:p w14:paraId="0BE39F15">
      <w:pPr>
        <w:pStyle w:val="74"/>
      </w:pPr>
      <w:bookmarkStart w:id="86" w:name="_Ref139305806"/>
      <w:r>
        <w:t xml:space="preserve">Рисунок </w:t>
      </w:r>
      <w:r>
        <w:fldChar w:fldCharType="begin"/>
      </w:r>
      <w:r>
        <w:instrText xml:space="preserve"> SEQ Рисунок \* ARABIC </w:instrText>
      </w:r>
      <w:r>
        <w:fldChar w:fldCharType="separate"/>
      </w:r>
      <w:r>
        <w:t>2</w:t>
      </w:r>
      <w:r>
        <w:fldChar w:fldCharType="end"/>
      </w:r>
      <w:bookmarkEnd w:id="86"/>
      <w:r>
        <w:t xml:space="preserve"> — Сообщение об ошибке при входе в подсистему</w:t>
      </w:r>
    </w:p>
    <w:p w14:paraId="57AB976F">
      <w:pPr>
        <w:pStyle w:val="69"/>
        <w:rPr>
          <w:lang w:val="en-US"/>
        </w:rPr>
      </w:pPr>
      <w:r>
        <w:t>В окне восстановления пароля заполнить поле «Имя пользователя» и нажать на кнопку «Подтвердить». На почтовый ящик будет направлено сообщение, содержащее новый пароль</w:t>
      </w:r>
      <w:r>
        <w:rPr>
          <w:lang w:val="en-US"/>
        </w:rPr>
        <w:t>.</w:t>
      </w:r>
    </w:p>
    <w:p w14:paraId="7033117C">
      <w:pPr>
        <w:pStyle w:val="74"/>
        <w:keepNext/>
      </w:pPr>
      <w:r>
        <w:drawing>
          <wp:inline distT="0" distB="0" distL="0" distR="0">
            <wp:extent cx="2231390" cy="2820670"/>
            <wp:effectExtent l="0" t="0" r="0" b="0"/>
            <wp:docPr id="5494642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464284"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232000" cy="2821009"/>
                    </a:xfrm>
                    <a:prstGeom prst="rect">
                      <a:avLst/>
                    </a:prstGeom>
                    <a:noFill/>
                  </pic:spPr>
                </pic:pic>
              </a:graphicData>
            </a:graphic>
          </wp:inline>
        </w:drawing>
      </w:r>
    </w:p>
    <w:p w14:paraId="7232B283">
      <w:pPr>
        <w:pStyle w:val="74"/>
      </w:pPr>
      <w:bookmarkStart w:id="87" w:name="_Ref224056326"/>
      <w:r>
        <w:t xml:space="preserve">Рисунок </w:t>
      </w:r>
      <w:r>
        <w:fldChar w:fldCharType="begin"/>
      </w:r>
      <w:r>
        <w:instrText xml:space="preserve"> SEQ Рисунок \* ARABIC </w:instrText>
      </w:r>
      <w:r>
        <w:fldChar w:fldCharType="separate"/>
      </w:r>
      <w:r>
        <w:t>3</w:t>
      </w:r>
      <w:r>
        <w:fldChar w:fldCharType="end"/>
      </w:r>
      <w:bookmarkEnd w:id="87"/>
      <w:r>
        <w:t xml:space="preserve"> — Окно восстановления пароля</w:t>
      </w:r>
    </w:p>
    <w:p w14:paraId="2E9349FD">
      <w:pPr>
        <w:pStyle w:val="75"/>
      </w:pPr>
      <w:r>
        <w:t xml:space="preserve">для пользователя с ролью куратор дополнительно необходимо в окне «Выберите организацию» (рис. </w:t>
      </w:r>
      <w:r>
        <w:fldChar w:fldCharType="begin"/>
      </w:r>
      <w:r>
        <w:instrText xml:space="preserve"> REF  _Ref205831174 \h\#\0   \* MERGEFORMAT </w:instrText>
      </w:r>
      <w:r>
        <w:fldChar w:fldCharType="separate"/>
      </w:r>
      <w:r>
        <w:t>4</w:t>
      </w:r>
      <w:r>
        <w:fldChar w:fldCharType="end"/>
      </w:r>
      <w:r>
        <w:t>) указать в поле «Выберите организацию для входа» курируемую организацию, выбрав значение из раскрывающегося справочника.</w:t>
      </w:r>
    </w:p>
    <w:p w14:paraId="638A28AE">
      <w:pPr>
        <w:pStyle w:val="73"/>
      </w:pPr>
      <w:r>
        <w:drawing>
          <wp:inline distT="0" distB="0" distL="0" distR="0">
            <wp:extent cx="4319905" cy="2248535"/>
            <wp:effectExtent l="19050" t="19050" r="23495" b="18415"/>
            <wp:docPr id="21004726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472687" name="Рисунок 1"/>
                    <pic:cNvPicPr>
                      <a:picLocks noChangeAspect="1"/>
                    </pic:cNvPicPr>
                  </pic:nvPicPr>
                  <pic:blipFill>
                    <a:blip r:embed="rId14"/>
                    <a:stretch>
                      <a:fillRect/>
                    </a:stretch>
                  </pic:blipFill>
                  <pic:spPr>
                    <a:xfrm>
                      <a:off x="0" y="0"/>
                      <a:ext cx="4320000" cy="2248556"/>
                    </a:xfrm>
                    <a:prstGeom prst="rect">
                      <a:avLst/>
                    </a:prstGeom>
                    <a:ln w="3175" cmpd="sng">
                      <a:solidFill>
                        <a:srgbClr val="000000"/>
                      </a:solidFill>
                    </a:ln>
                  </pic:spPr>
                </pic:pic>
              </a:graphicData>
            </a:graphic>
          </wp:inline>
        </w:drawing>
      </w:r>
    </w:p>
    <w:p w14:paraId="464776C6">
      <w:pPr>
        <w:pStyle w:val="74"/>
      </w:pPr>
      <w:bookmarkStart w:id="88" w:name="_Ref205831174"/>
      <w:r>
        <w:t xml:space="preserve">Рисунок </w:t>
      </w:r>
      <w:r>
        <w:fldChar w:fldCharType="begin"/>
      </w:r>
      <w:r>
        <w:instrText xml:space="preserve"> SEQ Рисунок \* ARABIC </w:instrText>
      </w:r>
      <w:r>
        <w:fldChar w:fldCharType="separate"/>
      </w:r>
      <w:r>
        <w:t>4</w:t>
      </w:r>
      <w:r>
        <w:fldChar w:fldCharType="end"/>
      </w:r>
      <w:bookmarkEnd w:id="88"/>
      <w:r>
        <w:t xml:space="preserve"> — Выбор курируемой организации для роли куратора</w:t>
      </w:r>
    </w:p>
    <w:p w14:paraId="362CEBF7">
      <w:pPr>
        <w:pStyle w:val="69"/>
      </w:pPr>
      <w:r>
        <w:t xml:space="preserve">При успешном прохождении процедуры регистрации в подсистеме откроется стартовая страница ФПУМП (рис. </w:t>
      </w:r>
      <w:r>
        <w:fldChar w:fldCharType="begin"/>
      </w:r>
      <w:r>
        <w:instrText xml:space="preserve"> REF  _Ref143763117 \h\#\0   \* MERGEFORMAT </w:instrText>
      </w:r>
      <w:r>
        <w:fldChar w:fldCharType="separate"/>
      </w:r>
      <w:r>
        <w:t>5</w:t>
      </w:r>
      <w:r>
        <w:fldChar w:fldCharType="end"/>
      </w:r>
      <w:r>
        <w:t xml:space="preserve">). </w:t>
      </w:r>
      <w:bookmarkStart w:id="89" w:name="_Hlk206014978"/>
      <w:r>
        <w:t xml:space="preserve">В верхней правой части экрана отобразятся данные пользователя, </w:t>
      </w:r>
      <w:bookmarkEnd w:id="89"/>
      <w:r>
        <w:t>от имени которого осуществлен вход в подсистему</w:t>
      </w:r>
      <w:bookmarkStart w:id="90" w:name="_Hlk205830562"/>
      <w:r>
        <w:t>, — код и краткое наименование организации пользователя.</w:t>
      </w:r>
      <w:bookmarkEnd w:id="90"/>
    </w:p>
    <w:p w14:paraId="32D696D2">
      <w:pPr>
        <w:pStyle w:val="73"/>
      </w:pPr>
      <w:r>
        <w:drawing>
          <wp:inline distT="0" distB="0" distL="0" distR="0">
            <wp:extent cx="6119495" cy="3006725"/>
            <wp:effectExtent l="19050" t="19050" r="14605" b="22225"/>
            <wp:docPr id="6495743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574389" name="Рисунок 1"/>
                    <pic:cNvPicPr>
                      <a:picLocks noChangeAspect="1"/>
                    </pic:cNvPicPr>
                  </pic:nvPicPr>
                  <pic:blipFill>
                    <a:blip r:embed="rId15"/>
                    <a:stretch>
                      <a:fillRect/>
                    </a:stretch>
                  </pic:blipFill>
                  <pic:spPr>
                    <a:xfrm>
                      <a:off x="0" y="0"/>
                      <a:ext cx="6119495" cy="3006725"/>
                    </a:xfrm>
                    <a:prstGeom prst="rect">
                      <a:avLst/>
                    </a:prstGeom>
                    <a:ln w="3175" cmpd="sng">
                      <a:solidFill>
                        <a:srgbClr val="000000"/>
                      </a:solidFill>
                    </a:ln>
                  </pic:spPr>
                </pic:pic>
              </a:graphicData>
            </a:graphic>
          </wp:inline>
        </w:drawing>
      </w:r>
    </w:p>
    <w:p w14:paraId="0FDF7066">
      <w:pPr>
        <w:pStyle w:val="74"/>
      </w:pPr>
      <w:bookmarkStart w:id="91" w:name="_Ref143763117"/>
      <w:r>
        <w:t xml:space="preserve">Рисунок </w:t>
      </w:r>
      <w:r>
        <w:fldChar w:fldCharType="begin"/>
      </w:r>
      <w:r>
        <w:instrText xml:space="preserve"> SEQ Рисунок \* ARABIC </w:instrText>
      </w:r>
      <w:r>
        <w:fldChar w:fldCharType="separate"/>
      </w:r>
      <w:r>
        <w:t>5</w:t>
      </w:r>
      <w:r>
        <w:fldChar w:fldCharType="end"/>
      </w:r>
      <w:bookmarkEnd w:id="91"/>
      <w:r>
        <w:t xml:space="preserve"> — Стартовое окно ФПУМП. АРМ сотрудника ТФОМС</w:t>
      </w:r>
    </w:p>
    <w:p w14:paraId="1AD60CEA">
      <w:pPr>
        <w:pStyle w:val="69"/>
      </w:pPr>
      <w:r>
        <w:t xml:space="preserve">Описание стартовой страницы ФПУМП приведено в п. </w:t>
      </w:r>
      <w:r>
        <w:fldChar w:fldCharType="begin"/>
      </w:r>
      <w:r>
        <w:instrText xml:space="preserve"> REF _Ref143706072 \n \h </w:instrText>
      </w:r>
      <w:r>
        <w:fldChar w:fldCharType="separate"/>
      </w:r>
      <w:r>
        <w:t>3.6.1</w:t>
      </w:r>
      <w:r>
        <w:fldChar w:fldCharType="end"/>
      </w:r>
      <w:r>
        <w:t>.</w:t>
      </w:r>
    </w:p>
    <w:p w14:paraId="266D4972">
      <w:pPr>
        <w:pStyle w:val="58"/>
      </w:pPr>
      <w:bookmarkStart w:id="92" w:name="_Toc142358041"/>
      <w:bookmarkEnd w:id="92"/>
      <w:bookmarkStart w:id="93" w:name="_Toc142389664"/>
      <w:bookmarkEnd w:id="93"/>
      <w:bookmarkStart w:id="94" w:name="_Toc150261761"/>
      <w:bookmarkStart w:id="95" w:name="_Toc225866310"/>
      <w:r>
        <w:t>Завершение работы</w:t>
      </w:r>
      <w:bookmarkEnd w:id="94"/>
      <w:bookmarkEnd w:id="95"/>
    </w:p>
    <w:p w14:paraId="2954264B">
      <w:pPr>
        <w:pStyle w:val="69"/>
      </w:pPr>
      <w:r>
        <w:t xml:space="preserve">Для завершения работы с подсистемой необходимо навести указатель на область отображения данных пользователя в верхней правой части экрана (рис. </w:t>
      </w:r>
      <w:r>
        <w:fldChar w:fldCharType="begin"/>
      </w:r>
      <w:r>
        <w:instrText xml:space="preserve"> REF  _Ref143701822 \h\#\0   \* MERGEFORMAT </w:instrText>
      </w:r>
      <w:r>
        <w:fldChar w:fldCharType="separate"/>
      </w:r>
      <w:r>
        <w:t>6</w:t>
      </w:r>
      <w:r>
        <w:fldChar w:fldCharType="end"/>
      </w:r>
      <w:r>
        <w:t>) и нажать кнопку «Выйти».</w:t>
      </w:r>
    </w:p>
    <w:p w14:paraId="15D7F6C8">
      <w:pPr>
        <w:pStyle w:val="73"/>
      </w:pPr>
      <w:r>
        <w:drawing>
          <wp:inline distT="0" distB="0" distL="0" distR="0">
            <wp:extent cx="2788920" cy="960120"/>
            <wp:effectExtent l="19050" t="19050" r="11430" b="1143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pic:cNvPicPr>
                  </pic:nvPicPr>
                  <pic:blipFill>
                    <a:blip r:embed="rId16"/>
                    <a:stretch>
                      <a:fillRect/>
                    </a:stretch>
                  </pic:blipFill>
                  <pic:spPr>
                    <a:xfrm>
                      <a:off x="0" y="0"/>
                      <a:ext cx="2789162" cy="960203"/>
                    </a:xfrm>
                    <a:prstGeom prst="rect">
                      <a:avLst/>
                    </a:prstGeom>
                    <a:ln w="3175" cmpd="sng">
                      <a:solidFill>
                        <a:srgbClr val="000000"/>
                      </a:solidFill>
                    </a:ln>
                  </pic:spPr>
                </pic:pic>
              </a:graphicData>
            </a:graphic>
          </wp:inline>
        </w:drawing>
      </w:r>
    </w:p>
    <w:p w14:paraId="5B08479B">
      <w:pPr>
        <w:pStyle w:val="74"/>
        <w:rPr>
          <w:highlight w:val="yellow"/>
        </w:rPr>
      </w:pPr>
      <w:bookmarkStart w:id="96" w:name="_Ref143701822"/>
      <w:r>
        <w:t xml:space="preserve">Рисунок </w:t>
      </w:r>
      <w:r>
        <w:fldChar w:fldCharType="begin"/>
      </w:r>
      <w:r>
        <w:instrText xml:space="preserve"> SEQ Рисунок \* ARABIC </w:instrText>
      </w:r>
      <w:r>
        <w:fldChar w:fldCharType="separate"/>
      </w:r>
      <w:r>
        <w:t>6</w:t>
      </w:r>
      <w:r>
        <w:fldChar w:fldCharType="end"/>
      </w:r>
      <w:bookmarkEnd w:id="96"/>
      <w:r>
        <w:t xml:space="preserve"> — Выход из ФПУМП</w:t>
      </w:r>
    </w:p>
    <w:p w14:paraId="1B0C319C">
      <w:pPr>
        <w:pStyle w:val="58"/>
      </w:pPr>
      <w:bookmarkStart w:id="97" w:name="_Toc150261762"/>
      <w:bookmarkStart w:id="98" w:name="_Toc225866311"/>
      <w:bookmarkStart w:id="99" w:name="_Ref142479103"/>
      <w:r>
        <w:t>Порядок проверки работоспособности</w:t>
      </w:r>
      <w:bookmarkEnd w:id="97"/>
      <w:bookmarkEnd w:id="98"/>
    </w:p>
    <w:p w14:paraId="3DD7E618">
      <w:pPr>
        <w:pStyle w:val="69"/>
      </w:pPr>
      <w:r>
        <w:t>Для проверки работоспособности подсистемы необходимо:</w:t>
      </w:r>
    </w:p>
    <w:p w14:paraId="1EA2F7F2">
      <w:pPr>
        <w:pStyle w:val="75"/>
        <w:numPr>
          <w:ilvl w:val="0"/>
          <w:numId w:val="19"/>
        </w:numPr>
      </w:pPr>
      <w:r>
        <w:t>выполнить вход в подсистему, пройдя процедуру авторизации;</w:t>
      </w:r>
    </w:p>
    <w:p w14:paraId="4D8064B8">
      <w:pPr>
        <w:pStyle w:val="75"/>
      </w:pPr>
      <w:r>
        <w:t>осуществить последовательный переход по вкладкам:</w:t>
      </w:r>
    </w:p>
    <w:p w14:paraId="51A4BFA2">
      <w:pPr>
        <w:pStyle w:val="77"/>
      </w:pPr>
      <w:r>
        <w:t>«Реестр СЭФД»;</w:t>
      </w:r>
    </w:p>
    <w:p w14:paraId="38588D0F">
      <w:pPr>
        <w:pStyle w:val="77"/>
      </w:pPr>
      <w:r>
        <w:t>«Реестр счетов»;</w:t>
      </w:r>
    </w:p>
    <w:p w14:paraId="38283ECF">
      <w:pPr>
        <w:pStyle w:val="77"/>
      </w:pPr>
      <w:r>
        <w:t>«Реестр направлений»;</w:t>
      </w:r>
    </w:p>
    <w:p w14:paraId="7AFE542D">
      <w:pPr>
        <w:pStyle w:val="77"/>
      </w:pPr>
      <w:r>
        <w:t>«Авансы и снятия»;</w:t>
      </w:r>
    </w:p>
    <w:p w14:paraId="09F03F68">
      <w:pPr>
        <w:pStyle w:val="77"/>
      </w:pPr>
      <w:r>
        <w:t>«Мониторинг».</w:t>
      </w:r>
    </w:p>
    <w:p w14:paraId="60BD3266">
      <w:pPr>
        <w:pStyle w:val="69"/>
      </w:pPr>
      <w:r>
        <w:t xml:space="preserve">При корректном вводе учетных данных должна отобразиться стартовая страница ФПУМП. При выборе вкладки осуществляется успешный переход в соответствующий раздел. Подсистема должна реагировать на запросы пользователя, отображая </w:t>
      </w:r>
      <w:bookmarkStart w:id="100" w:name="_Hlk155973505"/>
      <w:r>
        <w:t xml:space="preserve">соответствующую </w:t>
      </w:r>
      <w:bookmarkEnd w:id="100"/>
      <w:r>
        <w:t>форму.</w:t>
      </w:r>
    </w:p>
    <w:p w14:paraId="455653C3">
      <w:pPr>
        <w:pStyle w:val="58"/>
      </w:pPr>
      <w:bookmarkStart w:id="101" w:name="_Toc150261763"/>
      <w:bookmarkStart w:id="102" w:name="_Toc225866312"/>
      <w:r>
        <w:t>Описание интерфейса</w:t>
      </w:r>
      <w:bookmarkEnd w:id="99"/>
      <w:bookmarkEnd w:id="101"/>
      <w:bookmarkEnd w:id="102"/>
    </w:p>
    <w:p w14:paraId="1BD83902">
      <w:pPr>
        <w:pStyle w:val="69"/>
        <w:keepNext/>
      </w:pPr>
      <w:r>
        <w:t>Интерфейс ФПУМП выполнен с применением стандартных графических и интерактивных элементов: окон, вкладок, текстовых полей, табличных форм, списков, кнопок, меню, переключателей, ссылок и др.</w:t>
      </w:r>
    </w:p>
    <w:p w14:paraId="510FBB0C">
      <w:pPr>
        <w:pStyle w:val="71"/>
      </w:pPr>
      <w:r>
        <w:rPr>
          <w:rStyle w:val="72"/>
        </w:rPr>
        <w:t xml:space="preserve">Примечание </w:t>
      </w:r>
      <w:r>
        <w:t>— Некоторые функции, описанные в настоящем руководстве, могут быть недоступны пользователю. Это определяется правами доступа, установленными для конкретного пользователя (роли пользователя).</w:t>
      </w:r>
    </w:p>
    <w:p w14:paraId="3590CE3F">
      <w:pPr>
        <w:pStyle w:val="60"/>
      </w:pPr>
      <w:bookmarkStart w:id="103" w:name="_Toc139305860"/>
      <w:bookmarkStart w:id="104" w:name="_Toc150261764"/>
      <w:bookmarkStart w:id="105" w:name="_Ref143706072"/>
      <w:bookmarkStart w:id="106" w:name="_Toc225866313"/>
      <w:r>
        <w:t>Стартовая страница</w:t>
      </w:r>
      <w:bookmarkEnd w:id="103"/>
      <w:r>
        <w:t xml:space="preserve"> </w:t>
      </w:r>
      <w:r>
        <w:rPr>
          <w:rFonts w:eastAsia="Arial Unicode MS"/>
        </w:rPr>
        <w:t>ФПУМП</w:t>
      </w:r>
      <w:bookmarkEnd w:id="104"/>
      <w:bookmarkEnd w:id="105"/>
      <w:bookmarkEnd w:id="106"/>
    </w:p>
    <w:p w14:paraId="313A8790">
      <w:pPr>
        <w:pStyle w:val="69"/>
        <w:rPr>
          <w:rFonts w:eastAsia="Arial Unicode MS"/>
        </w:rPr>
      </w:pPr>
      <w:r>
        <w:rPr>
          <w:rFonts w:eastAsia="Arial Unicode MS"/>
        </w:rPr>
        <w:t xml:space="preserve">При успешном входе в ФПУМП открывается стартовая страница ФПУМП </w:t>
      </w:r>
      <w:r>
        <w:t xml:space="preserve">(рис. </w:t>
      </w:r>
      <w:r>
        <w:fldChar w:fldCharType="begin"/>
      </w:r>
      <w:r>
        <w:instrText xml:space="preserve"> REF  _Ref119873147 \h\#\0   \* MERGEFORMAT </w:instrText>
      </w:r>
      <w:r>
        <w:fldChar w:fldCharType="separate"/>
      </w:r>
      <w:r>
        <w:t>7</w:t>
      </w:r>
      <w:r>
        <w:fldChar w:fldCharType="end"/>
      </w:r>
      <w:r>
        <w:t>)</w:t>
      </w:r>
      <w:r>
        <w:rPr>
          <w:rFonts w:eastAsia="Arial Unicode MS"/>
        </w:rPr>
        <w:t>.</w:t>
      </w:r>
    </w:p>
    <w:p w14:paraId="41F8366D">
      <w:pPr>
        <w:pStyle w:val="69"/>
        <w:rPr>
          <w:rFonts w:eastAsia="Arial Unicode MS"/>
        </w:rPr>
      </w:pPr>
      <w:r>
        <w:rPr>
          <w:rFonts w:eastAsia="Arial Unicode MS"/>
        </w:rPr>
        <w:t>Данные пользователя, от имени которого осуществлен вход в подсистему, отображаются в правом верхнем углу.</w:t>
      </w:r>
    </w:p>
    <w:p w14:paraId="68966DAD">
      <w:pPr>
        <w:pStyle w:val="69"/>
      </w:pPr>
      <w:r>
        <w:rPr>
          <w:rFonts w:eastAsia="Arial Unicode MS"/>
        </w:rPr>
        <w:t xml:space="preserve">Все страницы содержат </w:t>
      </w:r>
      <w:r>
        <w:t>следующие основные блоки:</w:t>
      </w:r>
    </w:p>
    <w:p w14:paraId="7A6FB25A">
      <w:pPr>
        <w:pStyle w:val="75"/>
        <w:numPr>
          <w:ilvl w:val="0"/>
          <w:numId w:val="20"/>
        </w:numPr>
      </w:pPr>
      <w:r>
        <w:t xml:space="preserve">лента главного меню (см. </w:t>
      </w:r>
      <w:r>
        <w:fldChar w:fldCharType="begin"/>
      </w:r>
      <w:r>
        <w:instrText xml:space="preserve"> REF _Ref143780708 \n \h </w:instrText>
      </w:r>
      <w:r>
        <w:fldChar w:fldCharType="separate"/>
      </w:r>
      <w:r>
        <w:t>3.6.3</w:t>
      </w:r>
      <w:r>
        <w:fldChar w:fldCharType="end"/>
      </w:r>
      <w:r>
        <w:t>);</w:t>
      </w:r>
    </w:p>
    <w:p w14:paraId="4A503D5D">
      <w:pPr>
        <w:pStyle w:val="75"/>
        <w:numPr>
          <w:ilvl w:val="0"/>
          <w:numId w:val="20"/>
        </w:numPr>
      </w:pPr>
      <w:bookmarkStart w:id="107" w:name="_Hlk206076994"/>
      <w:bookmarkStart w:id="108" w:name="_Hlk206015112"/>
      <w:r>
        <w:t>область отображения данных пользователя</w:t>
      </w:r>
      <w:r>
        <w:rPr>
          <w:lang w:val="en-US"/>
        </w:rPr>
        <w:t xml:space="preserve"> </w:t>
      </w:r>
      <w:bookmarkEnd w:id="107"/>
      <w:r>
        <w:rPr>
          <w:lang w:val="en-US"/>
        </w:rPr>
        <w:t>(</w:t>
      </w:r>
      <w:r>
        <w:rPr>
          <w:lang w:val="en-US"/>
        </w:rPr>
        <w:fldChar w:fldCharType="begin"/>
      </w:r>
      <w:r>
        <w:rPr>
          <w:lang w:val="en-US"/>
        </w:rPr>
        <w:instrText xml:space="preserve"> REF _Ref203489767 \n \h </w:instrText>
      </w:r>
      <w:r>
        <w:rPr>
          <w:lang w:val="en-US"/>
        </w:rPr>
        <w:fldChar w:fldCharType="separate"/>
      </w:r>
      <w:r>
        <w:rPr>
          <w:lang w:val="en-US"/>
        </w:rPr>
        <w:t>3.6.2</w:t>
      </w:r>
      <w:r>
        <w:rPr>
          <w:lang w:val="en-US"/>
        </w:rPr>
        <w:fldChar w:fldCharType="end"/>
      </w:r>
      <w:r>
        <w:rPr>
          <w:lang w:val="en-US"/>
        </w:rPr>
        <w:t>)</w:t>
      </w:r>
      <w:r>
        <w:t>;</w:t>
      </w:r>
    </w:p>
    <w:bookmarkEnd w:id="108"/>
    <w:p w14:paraId="399D2FF4">
      <w:pPr>
        <w:pStyle w:val="75"/>
      </w:pPr>
      <w:r>
        <w:t xml:space="preserve">панель фильтрации и поиска информации (см. </w:t>
      </w:r>
      <w:r>
        <w:fldChar w:fldCharType="begin"/>
      </w:r>
      <w:r>
        <w:instrText xml:space="preserve"> REF _Ref143780723 \n \h </w:instrText>
      </w:r>
      <w:r>
        <w:fldChar w:fldCharType="separate"/>
      </w:r>
      <w:r>
        <w:t>3.6.4</w:t>
      </w:r>
      <w:r>
        <w:fldChar w:fldCharType="end"/>
      </w:r>
      <w:r>
        <w:t>);</w:t>
      </w:r>
    </w:p>
    <w:p w14:paraId="5E458246">
      <w:pPr>
        <w:pStyle w:val="75"/>
      </w:pPr>
      <w:r>
        <w:t xml:space="preserve">рабочая область — блок ввода и вывода информации (см. </w:t>
      </w:r>
      <w:r>
        <w:fldChar w:fldCharType="begin"/>
      </w:r>
      <w:r>
        <w:instrText xml:space="preserve"> REF _Ref203489806 \n \h </w:instrText>
      </w:r>
      <w:r>
        <w:fldChar w:fldCharType="separate"/>
      </w:r>
      <w:r>
        <w:t>3.6.5</w:t>
      </w:r>
      <w:r>
        <w:fldChar w:fldCharType="end"/>
      </w:r>
      <w:r>
        <w:t>).</w:t>
      </w:r>
    </w:p>
    <w:p w14:paraId="73D3F551">
      <w:pPr>
        <w:pStyle w:val="73"/>
      </w:pPr>
      <w:r>
        <w:drawing>
          <wp:inline distT="0" distB="0" distL="0" distR="0">
            <wp:extent cx="6119495" cy="3085465"/>
            <wp:effectExtent l="19050" t="19050" r="14605" b="1968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a:picLocks noChangeAspect="1"/>
                    </pic:cNvPicPr>
                  </pic:nvPicPr>
                  <pic:blipFill>
                    <a:blip r:embed="rId17"/>
                    <a:stretch>
                      <a:fillRect/>
                    </a:stretch>
                  </pic:blipFill>
                  <pic:spPr>
                    <a:xfrm>
                      <a:off x="0" y="0"/>
                      <a:ext cx="6119495" cy="3085465"/>
                    </a:xfrm>
                    <a:prstGeom prst="rect">
                      <a:avLst/>
                    </a:prstGeom>
                    <a:ln w="3175" cmpd="sng">
                      <a:solidFill>
                        <a:srgbClr val="000000"/>
                      </a:solidFill>
                    </a:ln>
                  </pic:spPr>
                </pic:pic>
              </a:graphicData>
            </a:graphic>
          </wp:inline>
        </w:drawing>
      </w:r>
    </w:p>
    <w:p w14:paraId="257720BC">
      <w:pPr>
        <w:pStyle w:val="74"/>
      </w:pPr>
      <w:bookmarkStart w:id="109" w:name="_Ref119873147"/>
      <w:r>
        <w:t xml:space="preserve">Рисунок </w:t>
      </w:r>
      <w:r>
        <w:fldChar w:fldCharType="begin"/>
      </w:r>
      <w:r>
        <w:instrText xml:space="preserve"> SEQ Рисунок \* ARABIC </w:instrText>
      </w:r>
      <w:r>
        <w:fldChar w:fldCharType="separate"/>
      </w:r>
      <w:r>
        <w:t>7</w:t>
      </w:r>
      <w:r>
        <w:fldChar w:fldCharType="end"/>
      </w:r>
      <w:bookmarkEnd w:id="109"/>
      <w:r>
        <w:t xml:space="preserve"> — Стартовая страница ФПУМП</w:t>
      </w:r>
    </w:p>
    <w:p w14:paraId="03D8C797">
      <w:pPr>
        <w:pStyle w:val="69"/>
      </w:pPr>
      <w:r>
        <w:t xml:space="preserve">Для получения справочной информации по работе с ФПУМП нажать значок справки </w:t>
      </w:r>
      <w:r>
        <w:drawing>
          <wp:inline distT="0" distB="0" distL="0" distR="0">
            <wp:extent cx="215900" cy="215900"/>
            <wp:effectExtent l="19050" t="19050" r="12700" b="12700"/>
            <wp:docPr id="965276979" name="Рисунок 965276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276979" name="Рисунок 96527697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16000" cy="216000"/>
                    </a:xfrm>
                    <a:prstGeom prst="rect">
                      <a:avLst/>
                    </a:prstGeom>
                    <a:noFill/>
                    <a:ln w="3175" cmpd="sng">
                      <a:solidFill>
                        <a:srgbClr val="000000"/>
                      </a:solidFill>
                    </a:ln>
                  </pic:spPr>
                </pic:pic>
              </a:graphicData>
            </a:graphic>
          </wp:inline>
        </w:drawing>
      </w:r>
      <w:r>
        <w:t xml:space="preserve"> в правом верхнем углу экрана.</w:t>
      </w:r>
    </w:p>
    <w:p w14:paraId="335468A6">
      <w:pPr>
        <w:pStyle w:val="60"/>
        <w:rPr>
          <w:lang w:val="en-US"/>
        </w:rPr>
      </w:pPr>
      <w:bookmarkStart w:id="110" w:name="_Toc225866314"/>
      <w:bookmarkStart w:id="111" w:name="_Ref203489767"/>
      <w:r>
        <w:t>Область отображения данных пользователя</w:t>
      </w:r>
      <w:bookmarkEnd w:id="110"/>
      <w:bookmarkEnd w:id="111"/>
    </w:p>
    <w:p w14:paraId="1A49B4D3">
      <w:pPr>
        <w:pStyle w:val="69"/>
      </w:pPr>
      <w:r>
        <w:t>При наведении курсора на область отображения данных пользователя отображаются сведения об организации пользователя (территориальном фонде ОМС):</w:t>
      </w:r>
    </w:p>
    <w:p w14:paraId="18AAAFD6">
      <w:pPr>
        <w:pStyle w:val="76"/>
      </w:pPr>
      <w:r>
        <w:t>«Тип организации» — ТФОМС;</w:t>
      </w:r>
    </w:p>
    <w:p w14:paraId="67286C85">
      <w:pPr>
        <w:pStyle w:val="76"/>
      </w:pPr>
      <w:r>
        <w:t>«Организация» — код субъекта;</w:t>
      </w:r>
    </w:p>
    <w:p w14:paraId="14D82AF9">
      <w:pPr>
        <w:pStyle w:val="76"/>
      </w:pPr>
      <w:r>
        <w:t>«Субъект» — код и наименование субъекта (региона);</w:t>
      </w:r>
    </w:p>
    <w:p w14:paraId="43F54136">
      <w:pPr>
        <w:pStyle w:val="113"/>
      </w:pPr>
      <w:r>
        <w:t>роль пользователя.</w:t>
      </w:r>
    </w:p>
    <w:p w14:paraId="32D39BA5">
      <w:pPr>
        <w:pStyle w:val="69"/>
      </w:pPr>
      <w:r>
        <w:t xml:space="preserve">Пример отображения сведений для роли «Куратор по МО для ТФОМС» Республики Марий ЭЛ приведен на рисунке </w:t>
      </w:r>
      <w:r>
        <w:fldChar w:fldCharType="begin"/>
      </w:r>
      <w:r>
        <w:instrText xml:space="preserve"> REF  _Ref202352881 \h\#\0   \* MERGEFORMAT </w:instrText>
      </w:r>
      <w:r>
        <w:fldChar w:fldCharType="separate"/>
      </w:r>
      <w:r>
        <w:t>8</w:t>
      </w:r>
      <w:r>
        <w:fldChar w:fldCharType="end"/>
      </w:r>
      <w:r>
        <w:t>.</w:t>
      </w:r>
    </w:p>
    <w:p w14:paraId="7B06D969">
      <w:pPr>
        <w:pStyle w:val="73"/>
      </w:pPr>
      <w:r>
        <w:drawing>
          <wp:inline distT="0" distB="0" distL="0" distR="0">
            <wp:extent cx="2159635" cy="1019810"/>
            <wp:effectExtent l="19050" t="19050" r="12065" b="27940"/>
            <wp:docPr id="12742674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267407" name="Рисунок 1"/>
                    <pic:cNvPicPr>
                      <a:picLocks noChangeAspect="1"/>
                    </pic:cNvPicPr>
                  </pic:nvPicPr>
                  <pic:blipFill>
                    <a:blip r:embed="rId19"/>
                    <a:stretch>
                      <a:fillRect/>
                    </a:stretch>
                  </pic:blipFill>
                  <pic:spPr>
                    <a:xfrm>
                      <a:off x="0" y="0"/>
                      <a:ext cx="2160000" cy="1020302"/>
                    </a:xfrm>
                    <a:prstGeom prst="rect">
                      <a:avLst/>
                    </a:prstGeom>
                    <a:ln w="3175" cmpd="sng">
                      <a:solidFill>
                        <a:srgbClr val="000000"/>
                      </a:solidFill>
                    </a:ln>
                  </pic:spPr>
                </pic:pic>
              </a:graphicData>
            </a:graphic>
          </wp:inline>
        </w:drawing>
      </w:r>
    </w:p>
    <w:p w14:paraId="50CF947E">
      <w:pPr>
        <w:pStyle w:val="74"/>
      </w:pPr>
      <w:bookmarkStart w:id="112" w:name="_Ref202352881"/>
      <w:r>
        <w:t xml:space="preserve">Рисунок </w:t>
      </w:r>
      <w:r>
        <w:fldChar w:fldCharType="begin"/>
      </w:r>
      <w:r>
        <w:instrText xml:space="preserve"> SEQ Рисунок \* ARABIC </w:instrText>
      </w:r>
      <w:r>
        <w:fldChar w:fldCharType="separate"/>
      </w:r>
      <w:r>
        <w:t>8</w:t>
      </w:r>
      <w:r>
        <w:fldChar w:fldCharType="end"/>
      </w:r>
      <w:bookmarkEnd w:id="112"/>
      <w:bookmarkStart w:id="113" w:name="_Hlk205830869"/>
      <w:r>
        <w:t xml:space="preserve"> — Область отображения данных пользователя</w:t>
      </w:r>
    </w:p>
    <w:bookmarkEnd w:id="113"/>
    <w:p w14:paraId="011706F9">
      <w:pPr>
        <w:pStyle w:val="60"/>
        <w:rPr>
          <w:rFonts w:eastAsia="Arial Unicode MS"/>
        </w:rPr>
      </w:pPr>
      <w:bookmarkStart w:id="114" w:name="_Toc204336416"/>
      <w:bookmarkEnd w:id="114"/>
      <w:bookmarkStart w:id="115" w:name="_Toc203490011"/>
      <w:bookmarkEnd w:id="115"/>
      <w:bookmarkStart w:id="116" w:name="_Toc150261765"/>
      <w:bookmarkStart w:id="117" w:name="_Ref143780708"/>
      <w:bookmarkStart w:id="118" w:name="_Toc225866315"/>
      <w:bookmarkStart w:id="119" w:name="_Hlk143694814"/>
      <w:r>
        <w:rPr>
          <w:rFonts w:eastAsia="Arial Unicode MS"/>
        </w:rPr>
        <w:t>Лента главного меню</w:t>
      </w:r>
      <w:bookmarkEnd w:id="116"/>
      <w:bookmarkEnd w:id="117"/>
      <w:bookmarkEnd w:id="118"/>
    </w:p>
    <w:bookmarkEnd w:id="119"/>
    <w:p w14:paraId="6A9FB3F5">
      <w:pPr>
        <w:pStyle w:val="69"/>
        <w:rPr>
          <w:rFonts w:eastAsia="Arial Unicode MS"/>
        </w:rPr>
      </w:pPr>
      <w:r>
        <w:rPr>
          <w:rFonts w:eastAsia="Arial Unicode MS"/>
        </w:rPr>
        <w:t xml:space="preserve">Лента главного меню (рис. </w:t>
      </w:r>
      <w:r>
        <w:rPr>
          <w:rFonts w:eastAsia="Arial Unicode MS"/>
        </w:rPr>
        <w:fldChar w:fldCharType="begin"/>
      </w:r>
      <w:r>
        <w:rPr>
          <w:rFonts w:eastAsia="Arial Unicode MS"/>
        </w:rPr>
        <w:instrText xml:space="preserve"> REF  _Ref146187597 \h\#\0   \* MERGEFORMAT </w:instrText>
      </w:r>
      <w:r>
        <w:rPr>
          <w:rFonts w:eastAsia="Arial Unicode MS"/>
        </w:rPr>
        <w:fldChar w:fldCharType="separate"/>
      </w:r>
      <w:r>
        <w:rPr>
          <w:rFonts w:eastAsia="Arial Unicode MS"/>
        </w:rPr>
        <w:t>9</w:t>
      </w:r>
      <w:r>
        <w:rPr>
          <w:rFonts w:eastAsia="Arial Unicode MS"/>
        </w:rPr>
        <w:fldChar w:fldCharType="end"/>
      </w:r>
      <w:r>
        <w:rPr>
          <w:rFonts w:eastAsia="Arial Unicode MS"/>
        </w:rPr>
        <w:t>) содержит следующие управляющие элементы и вкладки:</w:t>
      </w:r>
    </w:p>
    <w:p w14:paraId="16F28AAC">
      <w:pPr>
        <w:pStyle w:val="76"/>
      </w:pPr>
      <w:r>
        <w:t>«Все разделы»;</w:t>
      </w:r>
    </w:p>
    <w:p w14:paraId="71BEA759">
      <w:pPr>
        <w:pStyle w:val="76"/>
      </w:pPr>
      <w:r>
        <w:t>«Реестр СЭФД»;</w:t>
      </w:r>
    </w:p>
    <w:p w14:paraId="3A26EA62">
      <w:pPr>
        <w:pStyle w:val="76"/>
      </w:pPr>
      <w:r>
        <w:t>«Реестр счетов»;</w:t>
      </w:r>
    </w:p>
    <w:p w14:paraId="01FA7E8F">
      <w:pPr>
        <w:pStyle w:val="76"/>
      </w:pPr>
      <w:r>
        <w:t>«Реестр направлений»;</w:t>
      </w:r>
    </w:p>
    <w:p w14:paraId="3454E5D2">
      <w:pPr>
        <w:pStyle w:val="76"/>
      </w:pPr>
      <w:r>
        <w:t>«Авансы и снятия»;</w:t>
      </w:r>
    </w:p>
    <w:p w14:paraId="037E5069">
      <w:pPr>
        <w:pStyle w:val="76"/>
      </w:pPr>
      <w:r>
        <w:t>«Мониторинг».</w:t>
      </w:r>
    </w:p>
    <w:p w14:paraId="09435A9C">
      <w:pPr>
        <w:pStyle w:val="73"/>
        <w:rPr>
          <w:highlight w:val="yellow"/>
        </w:rPr>
      </w:pPr>
      <w:r>
        <w:drawing>
          <wp:inline distT="0" distB="0" distL="0" distR="0">
            <wp:extent cx="6119495" cy="223520"/>
            <wp:effectExtent l="19050" t="19050" r="14605" b="2413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pic:cNvPicPr>
                  </pic:nvPicPr>
                  <pic:blipFill>
                    <a:blip r:embed="rId20"/>
                    <a:stretch>
                      <a:fillRect/>
                    </a:stretch>
                  </pic:blipFill>
                  <pic:spPr>
                    <a:xfrm>
                      <a:off x="0" y="0"/>
                      <a:ext cx="6119495" cy="223520"/>
                    </a:xfrm>
                    <a:prstGeom prst="rect">
                      <a:avLst/>
                    </a:prstGeom>
                    <a:ln w="3175" cmpd="sng">
                      <a:solidFill>
                        <a:srgbClr val="000000"/>
                      </a:solidFill>
                    </a:ln>
                  </pic:spPr>
                </pic:pic>
              </a:graphicData>
            </a:graphic>
          </wp:inline>
        </w:drawing>
      </w:r>
    </w:p>
    <w:p w14:paraId="77F7D20F">
      <w:pPr>
        <w:pStyle w:val="74"/>
      </w:pPr>
      <w:bookmarkStart w:id="120" w:name="_Ref146187597"/>
      <w:r>
        <w:t xml:space="preserve">Рисунок </w:t>
      </w:r>
      <w:r>
        <w:fldChar w:fldCharType="begin"/>
      </w:r>
      <w:r>
        <w:instrText xml:space="preserve"> SEQ Рисунок \* ARABIC </w:instrText>
      </w:r>
      <w:r>
        <w:fldChar w:fldCharType="separate"/>
      </w:r>
      <w:r>
        <w:t>9</w:t>
      </w:r>
      <w:r>
        <w:fldChar w:fldCharType="end"/>
      </w:r>
      <w:bookmarkEnd w:id="120"/>
      <w:r>
        <w:t xml:space="preserve"> — Лента главного меню ФПУМП</w:t>
      </w:r>
    </w:p>
    <w:p w14:paraId="44BACAB8">
      <w:pPr>
        <w:pStyle w:val="69"/>
        <w:rPr>
          <w:rFonts w:eastAsia="Arial Unicode MS"/>
        </w:rPr>
      </w:pPr>
      <w:r>
        <w:rPr>
          <w:rFonts w:eastAsia="Arial Unicode MS"/>
        </w:rPr>
        <w:t xml:space="preserve">Переход в разделы осуществляется при выборе вкладки </w:t>
      </w:r>
      <w:bookmarkStart w:id="121" w:name="_Hlk205831955"/>
      <w:r>
        <w:rPr>
          <w:rFonts w:eastAsia="Arial Unicode MS"/>
        </w:rPr>
        <w:t xml:space="preserve">в ленте главного меню </w:t>
      </w:r>
      <w:bookmarkEnd w:id="121"/>
      <w:r>
        <w:rPr>
          <w:rFonts w:eastAsia="Arial Unicode MS"/>
        </w:rPr>
        <w:t xml:space="preserve">или выбором раздела в </w:t>
      </w:r>
      <w:bookmarkStart w:id="122" w:name="_Hlk205831972"/>
      <w:bookmarkStart w:id="123" w:name="_Hlk147221542"/>
      <w:r>
        <w:rPr>
          <w:rFonts w:eastAsia="Arial Unicode MS"/>
        </w:rPr>
        <w:t xml:space="preserve">раскрывающемся </w:t>
      </w:r>
      <w:bookmarkEnd w:id="122"/>
      <w:r>
        <w:rPr>
          <w:rFonts w:eastAsia="Arial Unicode MS"/>
        </w:rPr>
        <w:t xml:space="preserve">меню </w:t>
      </w:r>
      <w:r>
        <w:rPr>
          <w:rFonts w:eastAsia="Arial Unicode MS"/>
          <w:lang w:val="en-US"/>
        </w:rPr>
        <w:t>(</w:t>
      </w:r>
      <w:r>
        <w:rPr>
          <w:rFonts w:eastAsia="Arial Unicode MS"/>
        </w:rPr>
        <w:t xml:space="preserve">рис. </w:t>
      </w:r>
      <w:r>
        <w:rPr>
          <w:rFonts w:eastAsia="Arial Unicode MS"/>
        </w:rPr>
        <w:fldChar w:fldCharType="begin"/>
      </w:r>
      <w:r>
        <w:rPr>
          <w:rFonts w:eastAsia="Arial Unicode MS"/>
        </w:rPr>
        <w:instrText xml:space="preserve"> REF  _Ref146187661 \h\#\0   \* MERGEFORMAT </w:instrText>
      </w:r>
      <w:r>
        <w:rPr>
          <w:rFonts w:eastAsia="Arial Unicode MS"/>
        </w:rPr>
        <w:fldChar w:fldCharType="separate"/>
      </w:r>
      <w:r>
        <w:rPr>
          <w:rFonts w:eastAsia="Arial Unicode MS"/>
        </w:rPr>
        <w:t>10</w:t>
      </w:r>
      <w:r>
        <w:rPr>
          <w:rFonts w:eastAsia="Arial Unicode MS"/>
        </w:rPr>
        <w:fldChar w:fldCharType="end"/>
      </w:r>
      <w:r>
        <w:rPr>
          <w:rFonts w:eastAsia="Arial Unicode MS"/>
          <w:lang w:val="en-US"/>
        </w:rPr>
        <w:t xml:space="preserve">) </w:t>
      </w:r>
      <w:r>
        <w:rPr>
          <w:rFonts w:eastAsia="Arial Unicode MS"/>
        </w:rPr>
        <w:t>после нажатия кнопки «Все разделы».</w:t>
      </w:r>
      <w:bookmarkEnd w:id="123"/>
    </w:p>
    <w:p w14:paraId="2C3AFCFD">
      <w:pPr>
        <w:pStyle w:val="73"/>
      </w:pPr>
      <w:r>
        <w:t xml:space="preserve"> </w:t>
      </w:r>
      <w:r>
        <w:drawing>
          <wp:inline distT="0" distB="0" distL="0" distR="0">
            <wp:extent cx="6119495" cy="2902585"/>
            <wp:effectExtent l="19050" t="19050" r="14605" b="12065"/>
            <wp:docPr id="6723667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6767" name="Рисунок 1"/>
                    <pic:cNvPicPr>
                      <a:picLocks noChangeAspect="1"/>
                    </pic:cNvPicPr>
                  </pic:nvPicPr>
                  <pic:blipFill>
                    <a:blip r:embed="rId21"/>
                    <a:stretch>
                      <a:fillRect/>
                    </a:stretch>
                  </pic:blipFill>
                  <pic:spPr>
                    <a:xfrm>
                      <a:off x="0" y="0"/>
                      <a:ext cx="6119495" cy="2902585"/>
                    </a:xfrm>
                    <a:prstGeom prst="rect">
                      <a:avLst/>
                    </a:prstGeom>
                    <a:ln w="3175" cmpd="sng">
                      <a:solidFill>
                        <a:srgbClr val="000000"/>
                      </a:solidFill>
                    </a:ln>
                  </pic:spPr>
                </pic:pic>
              </a:graphicData>
            </a:graphic>
          </wp:inline>
        </w:drawing>
      </w:r>
    </w:p>
    <w:p w14:paraId="72EC5E86">
      <w:pPr>
        <w:pStyle w:val="74"/>
        <w:rPr>
          <w:highlight w:val="yellow"/>
        </w:rPr>
      </w:pPr>
      <w:bookmarkStart w:id="124" w:name="_Ref146187661"/>
      <w:r>
        <w:t xml:space="preserve">Рисунок </w:t>
      </w:r>
      <w:r>
        <w:fldChar w:fldCharType="begin"/>
      </w:r>
      <w:r>
        <w:instrText xml:space="preserve"> SEQ Рисунок \* ARABIC </w:instrText>
      </w:r>
      <w:r>
        <w:fldChar w:fldCharType="separate"/>
      </w:r>
      <w:r>
        <w:t>10</w:t>
      </w:r>
      <w:r>
        <w:fldChar w:fldCharType="end"/>
      </w:r>
      <w:bookmarkEnd w:id="124"/>
      <w:r>
        <w:t xml:space="preserve"> — Раскрывающееся меню «Все разделы»</w:t>
      </w:r>
    </w:p>
    <w:p w14:paraId="44DBAFC7">
      <w:pPr>
        <w:pStyle w:val="69"/>
      </w:pPr>
      <w:r>
        <w:t>После перехода в раздел активная вкладка подчеркивается синим цветом.</w:t>
      </w:r>
    </w:p>
    <w:p w14:paraId="45C9E849">
      <w:pPr>
        <w:pStyle w:val="60"/>
      </w:pPr>
      <w:bookmarkStart w:id="125" w:name="_Toc141993870"/>
      <w:bookmarkStart w:id="126" w:name="_Toc150261766"/>
      <w:bookmarkStart w:id="127" w:name="_Ref143780723"/>
      <w:bookmarkStart w:id="128" w:name="_Toc225866316"/>
      <w:r>
        <w:t>Панель фильтрации и поиска информации</w:t>
      </w:r>
      <w:bookmarkEnd w:id="125"/>
      <w:bookmarkEnd w:id="126"/>
      <w:bookmarkEnd w:id="127"/>
      <w:bookmarkEnd w:id="128"/>
    </w:p>
    <w:p w14:paraId="17178BCC">
      <w:pPr>
        <w:pStyle w:val="69"/>
      </w:pPr>
      <w:r>
        <w:t>Формы ФПУМП снабжены фильтрами, которые позволяют делать выборку содержимого табличной формы блока вывода информации. Возможен поиск как по ключевым параметрам, так и расширенный поиск. Примененная фильтрация сохраняется на время текущей сессии работы с формой.</w:t>
      </w:r>
    </w:p>
    <w:p w14:paraId="586245E5">
      <w:pPr>
        <w:pStyle w:val="69"/>
      </w:pPr>
      <w:r>
        <w:t xml:space="preserve">Панель фильтрации информации для быстрого поиска расположена в левой части экрана. На рисунке </w:t>
      </w:r>
      <w:r>
        <w:fldChar w:fldCharType="begin"/>
      </w:r>
      <w:r>
        <w:instrText xml:space="preserve"> REF  _Ref206016763 \h \t\#\0   \* MERGEFORMAT </w:instrText>
      </w:r>
      <w:r>
        <w:fldChar w:fldCharType="separate"/>
      </w:r>
      <w:r>
        <w:t>11</w:t>
      </w:r>
      <w:r>
        <w:fldChar w:fldCharType="end"/>
      </w:r>
      <w:r>
        <w:t xml:space="preserve"> для примера приведена панель фильтрации раздела «Реестр счетов».</w:t>
      </w:r>
    </w:p>
    <w:p w14:paraId="4D203F40">
      <w:pPr>
        <w:pStyle w:val="71"/>
      </w:pPr>
      <w:r>
        <w:rPr>
          <w:rStyle w:val="72"/>
        </w:rPr>
        <w:t>Примечание</w:t>
      </w:r>
      <w:r>
        <w:t xml:space="preserve"> — Доступные поля фильтрации зависят от конкретной табличной формы и указаны в разделах с описанием операций, доступных в конкретной форме.</w:t>
      </w:r>
    </w:p>
    <w:p w14:paraId="69276B04">
      <w:pPr>
        <w:pStyle w:val="73"/>
      </w:pPr>
      <w:r>
        <w:drawing>
          <wp:inline distT="0" distB="0" distL="0" distR="0">
            <wp:extent cx="2879725" cy="3230245"/>
            <wp:effectExtent l="19050" t="19050" r="15875" b="27305"/>
            <wp:docPr id="14127470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47040" name="Рисунок 1"/>
                    <pic:cNvPicPr>
                      <a:picLocks noChangeAspect="1"/>
                    </pic:cNvPicPr>
                  </pic:nvPicPr>
                  <pic:blipFill>
                    <a:blip r:embed="rId22"/>
                    <a:stretch>
                      <a:fillRect/>
                    </a:stretch>
                  </pic:blipFill>
                  <pic:spPr>
                    <a:xfrm>
                      <a:off x="0" y="0"/>
                      <a:ext cx="2880000" cy="3230400"/>
                    </a:xfrm>
                    <a:prstGeom prst="rect">
                      <a:avLst/>
                    </a:prstGeom>
                    <a:ln w="3175" cmpd="sng">
                      <a:solidFill>
                        <a:srgbClr val="000000"/>
                      </a:solidFill>
                    </a:ln>
                  </pic:spPr>
                </pic:pic>
              </a:graphicData>
            </a:graphic>
          </wp:inline>
        </w:drawing>
      </w:r>
    </w:p>
    <w:p w14:paraId="28416075">
      <w:pPr>
        <w:pStyle w:val="74"/>
      </w:pPr>
      <w:bookmarkStart w:id="129" w:name="_Ref206016763"/>
      <w:r>
        <w:t xml:space="preserve">Рисунок </w:t>
      </w:r>
      <w:r>
        <w:fldChar w:fldCharType="begin"/>
      </w:r>
      <w:r>
        <w:instrText xml:space="preserve"> SEQ Рисунок \* ARABIC </w:instrText>
      </w:r>
      <w:r>
        <w:fldChar w:fldCharType="separate"/>
      </w:r>
      <w:r>
        <w:t>11</w:t>
      </w:r>
      <w:r>
        <w:fldChar w:fldCharType="end"/>
      </w:r>
      <w:bookmarkEnd w:id="129"/>
      <w:r>
        <w:t xml:space="preserve"> — Панель фильтрации и поиска информации. Блок «Фильтр»</w:t>
      </w:r>
    </w:p>
    <w:p w14:paraId="09A64B13">
      <w:pPr>
        <w:pStyle w:val="69"/>
      </w:pPr>
      <w:r>
        <w:t xml:space="preserve">Чтобы раскрыть раздел с параметрами поиска необходимо нажать </w:t>
      </w:r>
      <w:r>
        <w:drawing>
          <wp:inline distT="0" distB="0" distL="0" distR="0">
            <wp:extent cx="180975" cy="161925"/>
            <wp:effectExtent l="19050" t="19050" r="9525" b="28575"/>
            <wp:docPr id="791228953" name="Рисунок 791228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228953" name="Рисунок 791228953"/>
                    <pic:cNvPicPr>
                      <a:picLocks noChangeAspect="1"/>
                    </pic:cNvPicPr>
                  </pic:nvPicPr>
                  <pic:blipFill>
                    <a:blip r:embed="rId23"/>
                    <a:stretch>
                      <a:fillRect/>
                    </a:stretch>
                  </pic:blipFill>
                  <pic:spPr>
                    <a:xfrm>
                      <a:off x="0" y="0"/>
                      <a:ext cx="181000" cy="161948"/>
                    </a:xfrm>
                    <a:prstGeom prst="rect">
                      <a:avLst/>
                    </a:prstGeom>
                    <a:ln w="3175" cmpd="sng">
                      <a:solidFill>
                        <a:srgbClr val="000000"/>
                      </a:solidFill>
                    </a:ln>
                  </pic:spPr>
                </pic:pic>
              </a:graphicData>
            </a:graphic>
          </wp:inline>
        </w:drawing>
      </w:r>
      <w:r>
        <w:t xml:space="preserve"> кнопку управления блоком фильтров. Чтобы скрыть параметры поиска — нажать </w:t>
      </w:r>
      <w:r>
        <w:drawing>
          <wp:inline distT="0" distB="0" distL="0" distR="0">
            <wp:extent cx="180975" cy="190500"/>
            <wp:effectExtent l="19050" t="19050" r="9525" b="19050"/>
            <wp:docPr id="874539842" name="Рисунок 874539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539842" name="Рисунок 874539842"/>
                    <pic:cNvPicPr>
                      <a:picLocks noChangeAspect="1"/>
                    </pic:cNvPicPr>
                  </pic:nvPicPr>
                  <pic:blipFill>
                    <a:blip r:embed="rId24"/>
                    <a:stretch>
                      <a:fillRect/>
                    </a:stretch>
                  </pic:blipFill>
                  <pic:spPr>
                    <a:xfrm>
                      <a:off x="0" y="0"/>
                      <a:ext cx="181000" cy="190527"/>
                    </a:xfrm>
                    <a:prstGeom prst="rect">
                      <a:avLst/>
                    </a:prstGeom>
                    <a:ln w="3175" cmpd="sng">
                      <a:solidFill>
                        <a:srgbClr val="000000"/>
                      </a:solidFill>
                    </a:ln>
                  </pic:spPr>
                </pic:pic>
              </a:graphicData>
            </a:graphic>
          </wp:inline>
        </w:drawing>
      </w:r>
      <w:r>
        <w:t>.</w:t>
      </w:r>
    </w:p>
    <w:p w14:paraId="75CE5E15">
      <w:pPr>
        <w:pStyle w:val="69"/>
      </w:pPr>
      <w:bookmarkStart w:id="130" w:name="_Toc461195733"/>
      <w:bookmarkStart w:id="131" w:name="_Toc91089947"/>
      <w:bookmarkStart w:id="132" w:name="_Toc139305861"/>
      <w:r>
        <w:t>Для применения фильтрации необходимо выполнить следующую последовательность действий:</w:t>
      </w:r>
    </w:p>
    <w:p w14:paraId="08FC32CF">
      <w:pPr>
        <w:pStyle w:val="76"/>
      </w:pPr>
      <w:r>
        <w:t>в блоке фильтров указать значения необходимых параметров фильтрации;</w:t>
      </w:r>
    </w:p>
    <w:p w14:paraId="4E35E752">
      <w:pPr>
        <w:pStyle w:val="76"/>
      </w:pPr>
      <w:r>
        <w:t xml:space="preserve">нажать кнопку </w:t>
      </w:r>
      <w:r>
        <w:drawing>
          <wp:inline distT="0" distB="0" distL="0" distR="0">
            <wp:extent cx="971550" cy="279400"/>
            <wp:effectExtent l="19050" t="19050" r="19050" b="25400"/>
            <wp:docPr id="18815435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543517" name="Рисунок 1"/>
                    <pic:cNvPicPr>
                      <a:picLocks noChangeAspect="1"/>
                    </pic:cNvPicPr>
                  </pic:nvPicPr>
                  <pic:blipFill>
                    <a:blip r:embed="rId25"/>
                    <a:stretch>
                      <a:fillRect/>
                    </a:stretch>
                  </pic:blipFill>
                  <pic:spPr>
                    <a:xfrm>
                      <a:off x="0" y="0"/>
                      <a:ext cx="972000" cy="279818"/>
                    </a:xfrm>
                    <a:prstGeom prst="rect">
                      <a:avLst/>
                    </a:prstGeom>
                    <a:ln w="3175" cmpd="sng">
                      <a:solidFill>
                        <a:srgbClr val="000000"/>
                      </a:solidFill>
                    </a:ln>
                  </pic:spPr>
                </pic:pic>
              </a:graphicData>
            </a:graphic>
          </wp:inline>
        </w:drawing>
      </w:r>
      <w:r>
        <w:t xml:space="preserve"> в панели фильтрации.</w:t>
      </w:r>
    </w:p>
    <w:p w14:paraId="04F81081">
      <w:pPr>
        <w:pStyle w:val="69"/>
      </w:pPr>
      <w:r>
        <w:t xml:space="preserve">Для очистки фильтров необходимо нажать кнопку </w:t>
      </w:r>
      <w:r>
        <w:drawing>
          <wp:inline distT="0" distB="0" distL="0" distR="0">
            <wp:extent cx="853440" cy="251460"/>
            <wp:effectExtent l="19050" t="19050" r="22860" b="15240"/>
            <wp:docPr id="13055688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568830" name="Рисунок 1"/>
                    <pic:cNvPicPr>
                      <a:picLocks noChangeAspect="1"/>
                    </pic:cNvPicPr>
                  </pic:nvPicPr>
                  <pic:blipFill>
                    <a:blip r:embed="rId26"/>
                    <a:stretch>
                      <a:fillRect/>
                    </a:stretch>
                  </pic:blipFill>
                  <pic:spPr>
                    <a:xfrm>
                      <a:off x="0" y="0"/>
                      <a:ext cx="853514" cy="251482"/>
                    </a:xfrm>
                    <a:prstGeom prst="rect">
                      <a:avLst/>
                    </a:prstGeom>
                    <a:ln w="3175" cmpd="sng">
                      <a:solidFill>
                        <a:srgbClr val="000000"/>
                      </a:solidFill>
                    </a:ln>
                  </pic:spPr>
                </pic:pic>
              </a:graphicData>
            </a:graphic>
          </wp:inline>
        </w:drawing>
      </w:r>
      <w:r>
        <w:t xml:space="preserve"> в панели фильтрации. Данные в блоке вывода информации будут обновлены автоматически.</w:t>
      </w:r>
    </w:p>
    <w:p w14:paraId="3B9DE4ED">
      <w:pPr>
        <w:pStyle w:val="69"/>
      </w:pPr>
      <w:r>
        <w:t xml:space="preserve">Панель фильтрации можно скрыть, нажав кнопку </w:t>
      </w:r>
      <w:r>
        <w:drawing>
          <wp:inline distT="0" distB="0" distL="0" distR="0">
            <wp:extent cx="215900" cy="238125"/>
            <wp:effectExtent l="19050" t="19050" r="12700" b="9525"/>
            <wp:docPr id="18144904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490483" name="Рисунок 1"/>
                    <pic:cNvPicPr>
                      <a:picLocks noChangeAspect="1"/>
                    </pic:cNvPicPr>
                  </pic:nvPicPr>
                  <pic:blipFill>
                    <a:blip r:embed="rId27"/>
                    <a:stretch>
                      <a:fillRect/>
                    </a:stretch>
                  </pic:blipFill>
                  <pic:spPr>
                    <a:xfrm>
                      <a:off x="0" y="0"/>
                      <a:ext cx="216000" cy="238154"/>
                    </a:xfrm>
                    <a:prstGeom prst="rect">
                      <a:avLst/>
                    </a:prstGeom>
                    <a:ln w="3175" cmpd="sng">
                      <a:solidFill>
                        <a:srgbClr val="000000"/>
                      </a:solidFill>
                    </a:ln>
                  </pic:spPr>
                </pic:pic>
              </a:graphicData>
            </a:graphic>
          </wp:inline>
        </w:drawing>
      </w:r>
      <w:r>
        <w:t xml:space="preserve"> в блоке «Фильтр» (рис. </w:t>
      </w:r>
      <w:r>
        <w:fldChar w:fldCharType="begin"/>
      </w:r>
      <w:r>
        <w:instrText xml:space="preserve"> REF  _Ref143703510 \h\#\0   \* MERGEFORMAT </w:instrText>
      </w:r>
      <w:r>
        <w:fldChar w:fldCharType="separate"/>
      </w:r>
      <w:r>
        <w:t>12</w:t>
      </w:r>
      <w:r>
        <w:fldChar w:fldCharType="end"/>
      </w:r>
      <w:r>
        <w:t>).</w:t>
      </w:r>
    </w:p>
    <w:p w14:paraId="45401952">
      <w:pPr>
        <w:pStyle w:val="73"/>
      </w:pPr>
      <w:r>
        <w:drawing>
          <wp:inline distT="0" distB="0" distL="0" distR="0">
            <wp:extent cx="2170430" cy="3797935"/>
            <wp:effectExtent l="19050" t="19050" r="20320" b="12065"/>
            <wp:docPr id="68728018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280183" name="Рисунок 3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170430" cy="3797935"/>
                    </a:xfrm>
                    <a:prstGeom prst="rect">
                      <a:avLst/>
                    </a:prstGeom>
                    <a:noFill/>
                    <a:ln w="3175" cmpd="sng">
                      <a:solidFill>
                        <a:srgbClr val="000000"/>
                      </a:solidFill>
                    </a:ln>
                  </pic:spPr>
                </pic:pic>
              </a:graphicData>
            </a:graphic>
          </wp:inline>
        </w:drawing>
      </w:r>
    </w:p>
    <w:p w14:paraId="279A21D1">
      <w:pPr>
        <w:pStyle w:val="74"/>
      </w:pPr>
      <w:bookmarkStart w:id="133" w:name="_Ref143703510"/>
      <w:r>
        <w:t xml:space="preserve">Рисунок </w:t>
      </w:r>
      <w:r>
        <w:fldChar w:fldCharType="begin"/>
      </w:r>
      <w:r>
        <w:instrText xml:space="preserve"> SEQ Рисунок \* ARABIC </w:instrText>
      </w:r>
      <w:r>
        <w:fldChar w:fldCharType="separate"/>
      </w:r>
      <w:r>
        <w:t>12</w:t>
      </w:r>
      <w:r>
        <w:fldChar w:fldCharType="end"/>
      </w:r>
      <w:bookmarkEnd w:id="133"/>
    </w:p>
    <w:p w14:paraId="5F100F5D">
      <w:pPr>
        <w:pStyle w:val="69"/>
      </w:pPr>
      <w:r>
        <w:t xml:space="preserve">Для отображения скрытой панели фильтрации нажать кнопку </w:t>
      </w:r>
      <w:r>
        <w:drawing>
          <wp:inline distT="0" distB="0" distL="0" distR="0">
            <wp:extent cx="215900" cy="201930"/>
            <wp:effectExtent l="19050" t="19050" r="12700" b="26670"/>
            <wp:docPr id="9635961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96147" name="Рисунок 1"/>
                    <pic:cNvPicPr>
                      <a:picLocks noChangeAspect="1"/>
                    </pic:cNvPicPr>
                  </pic:nvPicPr>
                  <pic:blipFill>
                    <a:blip r:embed="rId29"/>
                    <a:stretch>
                      <a:fillRect/>
                    </a:stretch>
                  </pic:blipFill>
                  <pic:spPr>
                    <a:xfrm>
                      <a:off x="0" y="0"/>
                      <a:ext cx="216000" cy="202500"/>
                    </a:xfrm>
                    <a:prstGeom prst="rect">
                      <a:avLst/>
                    </a:prstGeom>
                    <a:ln w="3175" cmpd="sng">
                      <a:solidFill>
                        <a:srgbClr val="000000"/>
                      </a:solidFill>
                    </a:ln>
                  </pic:spPr>
                </pic:pic>
              </a:graphicData>
            </a:graphic>
          </wp:inline>
        </w:drawing>
      </w:r>
      <w:r>
        <w:t xml:space="preserve"> (рис. </w:t>
      </w:r>
      <w:r>
        <w:fldChar w:fldCharType="begin"/>
      </w:r>
      <w:r>
        <w:instrText xml:space="preserve"> REF  _Ref143703937 \h\#\0   \* MERGEFORMAT </w:instrText>
      </w:r>
      <w:r>
        <w:fldChar w:fldCharType="separate"/>
      </w:r>
      <w:r>
        <w:t>13</w:t>
      </w:r>
      <w:r>
        <w:fldChar w:fldCharType="end"/>
      </w:r>
      <w:r>
        <w:t>).</w:t>
      </w:r>
    </w:p>
    <w:p w14:paraId="20D3FCEC">
      <w:pPr>
        <w:pStyle w:val="73"/>
      </w:pPr>
      <w:r>
        <w:drawing>
          <wp:inline distT="0" distB="0" distL="0" distR="0">
            <wp:extent cx="6132830" cy="1572895"/>
            <wp:effectExtent l="19050" t="19050" r="20320" b="27305"/>
            <wp:docPr id="182401175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011755" name="Рисунок 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32830" cy="1572895"/>
                    </a:xfrm>
                    <a:prstGeom prst="rect">
                      <a:avLst/>
                    </a:prstGeom>
                    <a:noFill/>
                    <a:ln w="3175" cmpd="sng">
                      <a:solidFill>
                        <a:srgbClr val="000000"/>
                      </a:solidFill>
                    </a:ln>
                  </pic:spPr>
                </pic:pic>
              </a:graphicData>
            </a:graphic>
          </wp:inline>
        </w:drawing>
      </w:r>
    </w:p>
    <w:p w14:paraId="1E9B09D5">
      <w:pPr>
        <w:pStyle w:val="74"/>
      </w:pPr>
      <w:bookmarkStart w:id="134" w:name="_Ref143703937"/>
      <w:r>
        <w:t xml:space="preserve">Рисунок </w:t>
      </w:r>
      <w:r>
        <w:fldChar w:fldCharType="begin"/>
      </w:r>
      <w:r>
        <w:instrText xml:space="preserve"> SEQ Рисунок \* ARABIC </w:instrText>
      </w:r>
      <w:r>
        <w:fldChar w:fldCharType="separate"/>
      </w:r>
      <w:r>
        <w:t>13</w:t>
      </w:r>
      <w:r>
        <w:fldChar w:fldCharType="end"/>
      </w:r>
      <w:bookmarkEnd w:id="134"/>
    </w:p>
    <w:p w14:paraId="7E35DFEA">
      <w:pPr>
        <w:pStyle w:val="60"/>
      </w:pPr>
      <w:bookmarkStart w:id="135" w:name="_Ref203489806"/>
      <w:bookmarkStart w:id="136" w:name="_Toc225866317"/>
      <w:bookmarkStart w:id="137" w:name="_Toc150261767"/>
      <w:r>
        <w:t>Рабочая область</w:t>
      </w:r>
      <w:bookmarkEnd w:id="135"/>
      <w:bookmarkEnd w:id="136"/>
      <w:bookmarkEnd w:id="137"/>
    </w:p>
    <w:bookmarkEnd w:id="130"/>
    <w:bookmarkEnd w:id="131"/>
    <w:bookmarkEnd w:id="132"/>
    <w:p w14:paraId="6A079CEC">
      <w:pPr>
        <w:pStyle w:val="61"/>
      </w:pPr>
      <w:bookmarkStart w:id="138" w:name="_Ref354655460"/>
      <w:bookmarkStart w:id="139" w:name="_Toc461195740"/>
      <w:bookmarkStart w:id="140" w:name="_Toc139305871"/>
      <w:bookmarkStart w:id="141" w:name="_Toc355707420"/>
      <w:bookmarkStart w:id="142" w:name="_Toc91089961"/>
      <w:bookmarkStart w:id="143" w:name="_Ref143780756"/>
      <w:r>
        <w:t xml:space="preserve">Блок </w:t>
      </w:r>
      <w:bookmarkEnd w:id="138"/>
      <w:bookmarkEnd w:id="139"/>
      <w:bookmarkEnd w:id="140"/>
      <w:bookmarkEnd w:id="141"/>
      <w:bookmarkEnd w:id="142"/>
      <w:r>
        <w:t>вывода информации</w:t>
      </w:r>
      <w:bookmarkEnd w:id="143"/>
    </w:p>
    <w:p w14:paraId="411BFBC7">
      <w:pPr>
        <w:pStyle w:val="69"/>
      </w:pPr>
      <w:r>
        <w:t xml:space="preserve">В блоке вывода информации (рис. </w:t>
      </w:r>
      <w:r>
        <w:fldChar w:fldCharType="begin"/>
      </w:r>
      <w:r>
        <w:instrText xml:space="preserve"> REF  _Ref438718545 \h\#\0   \* MERGEFORMAT </w:instrText>
      </w:r>
      <w:r>
        <w:fldChar w:fldCharType="separate"/>
      </w:r>
      <w:r>
        <w:t>14</w:t>
      </w:r>
      <w:r>
        <w:fldChar w:fldCharType="end"/>
      </w:r>
      <w:r>
        <w:t>) в табличной форме отображается информация, соответствующая заданным критериям поиска в блоке «Фильтр».</w:t>
      </w:r>
    </w:p>
    <w:p w14:paraId="0DA566C8">
      <w:pPr>
        <w:pStyle w:val="69"/>
      </w:pPr>
      <w:r>
        <w:t>В верхней части блока отображается информационная строка и панель инструментов.</w:t>
      </w:r>
    </w:p>
    <w:p w14:paraId="2A18ACF3">
      <w:pPr>
        <w:pStyle w:val="69"/>
        <w:rPr>
          <w:szCs w:val="28"/>
        </w:rPr>
      </w:pPr>
      <w:r>
        <w:t>Информационная строка содержит наименование реестра и количество найденных записей.</w:t>
      </w:r>
    </w:p>
    <w:p w14:paraId="6996C64D">
      <w:pPr>
        <w:pStyle w:val="73"/>
      </w:pPr>
      <w:r>
        <w:drawing>
          <wp:inline distT="0" distB="0" distL="0" distR="0">
            <wp:extent cx="6115685" cy="3223895"/>
            <wp:effectExtent l="19050" t="19050" r="18415" b="14605"/>
            <wp:docPr id="1593183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8312" name="Рисунок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15685" cy="3223895"/>
                    </a:xfrm>
                    <a:prstGeom prst="rect">
                      <a:avLst/>
                    </a:prstGeom>
                    <a:noFill/>
                    <a:ln w="3175" cmpd="sng">
                      <a:solidFill>
                        <a:srgbClr val="000000"/>
                      </a:solidFill>
                    </a:ln>
                  </pic:spPr>
                </pic:pic>
              </a:graphicData>
            </a:graphic>
          </wp:inline>
        </w:drawing>
      </w:r>
    </w:p>
    <w:p w14:paraId="58425CFA">
      <w:pPr>
        <w:pStyle w:val="74"/>
      </w:pPr>
      <w:bookmarkStart w:id="144" w:name="_Ref438718545"/>
      <w:r>
        <w:t xml:space="preserve">Рисунок </w:t>
      </w:r>
      <w:r>
        <w:fldChar w:fldCharType="begin"/>
      </w:r>
      <w:r>
        <w:instrText xml:space="preserve"> SEQ Рисунок \* ARABIC </w:instrText>
      </w:r>
      <w:r>
        <w:fldChar w:fldCharType="separate"/>
      </w:r>
      <w:r>
        <w:t>14</w:t>
      </w:r>
      <w:r>
        <w:fldChar w:fldCharType="end"/>
      </w:r>
      <w:bookmarkEnd w:id="144"/>
      <w:r>
        <w:t xml:space="preserve"> — Пример вывода результатов поиска</w:t>
      </w:r>
    </w:p>
    <w:p w14:paraId="59C99283">
      <w:pPr>
        <w:pStyle w:val="69"/>
      </w:pPr>
      <w:bookmarkStart w:id="145" w:name="_Hlk205832754"/>
      <w:r>
        <w:t xml:space="preserve">Доступен механизм управления составом информации в табличной форме. Операция выполняется в панели настройки отображения столбцов после нажатия на кнопку </w:t>
      </w:r>
      <w:r>
        <w:rPr>
          <w:lang w:eastAsia="ru-RU"/>
        </w:rPr>
        <w:drawing>
          <wp:inline distT="0" distB="0" distL="0" distR="0">
            <wp:extent cx="215900" cy="229870"/>
            <wp:effectExtent l="19050" t="19050" r="12700" b="17780"/>
            <wp:docPr id="1328324170" name="Рисунок 132832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324170" name="Рисунок 1328324170"/>
                    <pic:cNvPicPr>
                      <a:picLocks noChangeAspect="1"/>
                    </pic:cNvPicPr>
                  </pic:nvPicPr>
                  <pic:blipFill>
                    <a:blip r:embed="rId32"/>
                    <a:stretch>
                      <a:fillRect/>
                    </a:stretch>
                  </pic:blipFill>
                  <pic:spPr>
                    <a:xfrm>
                      <a:off x="0" y="0"/>
                      <a:ext cx="216000" cy="230400"/>
                    </a:xfrm>
                    <a:prstGeom prst="rect">
                      <a:avLst/>
                    </a:prstGeom>
                    <a:ln w="3175" cmpd="sng">
                      <a:solidFill>
                        <a:srgbClr val="000000"/>
                      </a:solidFill>
                    </a:ln>
                  </pic:spPr>
                </pic:pic>
              </a:graphicData>
            </a:graphic>
          </wp:inline>
        </w:drawing>
      </w:r>
      <w:r>
        <w:t xml:space="preserve"> «Настройка» </w:t>
      </w:r>
      <w:bookmarkEnd w:id="145"/>
      <w:r>
        <w:t xml:space="preserve">(рис. </w:t>
      </w:r>
      <w:r>
        <w:fldChar w:fldCharType="begin"/>
      </w:r>
      <w:r>
        <w:instrText xml:space="preserve"> REF  _Ref143705430 \h\#\0   \* MERGEFORMAT </w:instrText>
      </w:r>
      <w:r>
        <w:fldChar w:fldCharType="separate"/>
      </w:r>
      <w:r>
        <w:t>15</w:t>
      </w:r>
      <w:r>
        <w:fldChar w:fldCharType="end"/>
      </w:r>
      <w:r>
        <w:t>).</w:t>
      </w:r>
    </w:p>
    <w:p w14:paraId="7F6F9E4E">
      <w:pPr>
        <w:pStyle w:val="73"/>
      </w:pPr>
      <w:r>
        <w:drawing>
          <wp:inline distT="0" distB="0" distL="0" distR="0">
            <wp:extent cx="6115685" cy="3194685"/>
            <wp:effectExtent l="19050" t="19050" r="18415" b="24765"/>
            <wp:docPr id="7636391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39128" name="Рисунок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15685" cy="3194685"/>
                    </a:xfrm>
                    <a:prstGeom prst="rect">
                      <a:avLst/>
                    </a:prstGeom>
                    <a:noFill/>
                    <a:ln w="3175" cmpd="sng">
                      <a:solidFill>
                        <a:srgbClr val="000000"/>
                      </a:solidFill>
                    </a:ln>
                  </pic:spPr>
                </pic:pic>
              </a:graphicData>
            </a:graphic>
          </wp:inline>
        </w:drawing>
      </w:r>
    </w:p>
    <w:p w14:paraId="19C11205">
      <w:pPr>
        <w:pStyle w:val="74"/>
      </w:pPr>
      <w:bookmarkStart w:id="146" w:name="_Ref143705430"/>
      <w:r>
        <w:t xml:space="preserve">Рисунок </w:t>
      </w:r>
      <w:r>
        <w:fldChar w:fldCharType="begin"/>
      </w:r>
      <w:r>
        <w:instrText xml:space="preserve"> SEQ Рисунок \* ARABIC </w:instrText>
      </w:r>
      <w:r>
        <w:fldChar w:fldCharType="separate"/>
      </w:r>
      <w:r>
        <w:t>15</w:t>
      </w:r>
      <w:r>
        <w:fldChar w:fldCharType="end"/>
      </w:r>
      <w:bookmarkEnd w:id="146"/>
      <w:r>
        <w:t xml:space="preserve"> — Раздел «Реестр СЭФД». Настройка отображения табличной части</w:t>
      </w:r>
    </w:p>
    <w:p w14:paraId="2072813E">
      <w:pPr>
        <w:pStyle w:val="69"/>
      </w:pPr>
      <w:bookmarkStart w:id="147" w:name="_Hlk205832895"/>
      <w:r>
        <w:t xml:space="preserve">В раскрывающемся списке установить или снять флаг </w:t>
      </w:r>
      <w:r>
        <w:rPr>
          <w:lang w:eastAsia="ru-RU"/>
        </w:rPr>
        <w:drawing>
          <wp:inline distT="0" distB="0" distL="0" distR="0">
            <wp:extent cx="251460" cy="237490"/>
            <wp:effectExtent l="19050" t="19050" r="15240" b="10160"/>
            <wp:docPr id="531298788" name="Рисунок 531298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98788" name="Рисунок 531298788"/>
                    <pic:cNvPicPr>
                      <a:picLocks noChangeAspect="1"/>
                    </pic:cNvPicPr>
                  </pic:nvPicPr>
                  <pic:blipFill>
                    <a:blip r:embed="rId34"/>
                    <a:stretch>
                      <a:fillRect/>
                    </a:stretch>
                  </pic:blipFill>
                  <pic:spPr>
                    <a:xfrm>
                      <a:off x="0" y="0"/>
                      <a:ext cx="252000" cy="238000"/>
                    </a:xfrm>
                    <a:prstGeom prst="rect">
                      <a:avLst/>
                    </a:prstGeom>
                    <a:ln w="3175" cmpd="sng">
                      <a:solidFill>
                        <a:srgbClr val="000000"/>
                      </a:solidFill>
                    </a:ln>
                  </pic:spPr>
                </pic:pic>
              </a:graphicData>
            </a:graphic>
          </wp:inline>
        </w:drawing>
      </w:r>
      <w:r>
        <w:t xml:space="preserve"> напротив наименования столбца, который необходимо показать или скрыть. Настроенный состав вывода информации в табличной форме сохраняется для пользователя на время сессии.</w:t>
      </w:r>
    </w:p>
    <w:bookmarkEnd w:id="147"/>
    <w:p w14:paraId="2149ACF8">
      <w:pPr>
        <w:pStyle w:val="61"/>
      </w:pPr>
      <w:bookmarkStart w:id="148" w:name="_Toc461195742"/>
      <w:bookmarkStart w:id="149" w:name="_Toc139305872"/>
      <w:bookmarkStart w:id="150" w:name="_Toc91089963"/>
      <w:r>
        <w:t>Блок ввода данных</w:t>
      </w:r>
      <w:bookmarkEnd w:id="148"/>
      <w:bookmarkEnd w:id="149"/>
      <w:bookmarkEnd w:id="150"/>
    </w:p>
    <w:p w14:paraId="227D7A77">
      <w:pPr>
        <w:pStyle w:val="69"/>
      </w:pPr>
      <w:r>
        <w:t xml:space="preserve">Регистрация сведений осуществляется путем ввода данных в формы документов. Пример формы «Создание отчета» приведен на рисунке </w:t>
      </w:r>
      <w:r>
        <w:fldChar w:fldCharType="begin"/>
      </w:r>
      <w:r>
        <w:instrText xml:space="preserve"> REF  _Ref438718645 \h\#\0   \* MERGEFORMAT </w:instrText>
      </w:r>
      <w:r>
        <w:fldChar w:fldCharType="separate"/>
      </w:r>
      <w:r>
        <w:t>16</w:t>
      </w:r>
      <w:r>
        <w:fldChar w:fldCharType="end"/>
      </w:r>
      <w:r>
        <w:t>.</w:t>
      </w:r>
    </w:p>
    <w:p w14:paraId="42CFEEF0">
      <w:pPr>
        <w:pStyle w:val="73"/>
      </w:pPr>
      <w:r>
        <w:drawing>
          <wp:inline distT="0" distB="0" distL="0" distR="0">
            <wp:extent cx="3239770" cy="2103120"/>
            <wp:effectExtent l="19050" t="19050" r="17780" b="11430"/>
            <wp:docPr id="10638836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83667" name="Рисунок 1"/>
                    <pic:cNvPicPr>
                      <a:picLocks noChangeAspect="1"/>
                    </pic:cNvPicPr>
                  </pic:nvPicPr>
                  <pic:blipFill>
                    <a:blip r:embed="rId35"/>
                    <a:stretch>
                      <a:fillRect/>
                    </a:stretch>
                  </pic:blipFill>
                  <pic:spPr>
                    <a:xfrm>
                      <a:off x="0" y="0"/>
                      <a:ext cx="3240000" cy="2103543"/>
                    </a:xfrm>
                    <a:prstGeom prst="rect">
                      <a:avLst/>
                    </a:prstGeom>
                    <a:ln w="3175" cmpd="sng">
                      <a:solidFill>
                        <a:srgbClr val="000000"/>
                      </a:solidFill>
                    </a:ln>
                  </pic:spPr>
                </pic:pic>
              </a:graphicData>
            </a:graphic>
          </wp:inline>
        </w:drawing>
      </w:r>
    </w:p>
    <w:p w14:paraId="3E0E4082">
      <w:pPr>
        <w:pStyle w:val="74"/>
      </w:pPr>
      <w:bookmarkStart w:id="151" w:name="_Ref438718645"/>
      <w:r>
        <w:t xml:space="preserve">Рисунок </w:t>
      </w:r>
      <w:r>
        <w:fldChar w:fldCharType="begin"/>
      </w:r>
      <w:r>
        <w:instrText xml:space="preserve"> SEQ Рисунок \* ARABIC </w:instrText>
      </w:r>
      <w:r>
        <w:fldChar w:fldCharType="separate"/>
      </w:r>
      <w:r>
        <w:t>16</w:t>
      </w:r>
      <w:r>
        <w:fldChar w:fldCharType="end"/>
      </w:r>
      <w:bookmarkEnd w:id="151"/>
      <w:r>
        <w:t xml:space="preserve"> — Создание отчета</w:t>
      </w:r>
    </w:p>
    <w:p w14:paraId="43D03F7E">
      <w:pPr>
        <w:pStyle w:val="69"/>
      </w:pPr>
      <w:r>
        <w:t xml:space="preserve">Обязательные для заполнения поля отмечены символом </w:t>
      </w:r>
      <w:r>
        <w:rPr>
          <w:lang w:eastAsia="ru-RU"/>
        </w:rPr>
        <w:drawing>
          <wp:inline distT="0" distB="0" distL="0" distR="0">
            <wp:extent cx="215900" cy="201930"/>
            <wp:effectExtent l="19050" t="19050" r="12700" b="26670"/>
            <wp:docPr id="149530019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300196" name="Рисунок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16000" cy="202213"/>
                    </a:xfrm>
                    <a:prstGeom prst="rect">
                      <a:avLst/>
                    </a:prstGeom>
                    <a:noFill/>
                    <a:ln w="3175" cmpd="sng">
                      <a:solidFill>
                        <a:srgbClr val="000000"/>
                      </a:solidFill>
                    </a:ln>
                  </pic:spPr>
                </pic:pic>
              </a:graphicData>
            </a:graphic>
          </wp:inline>
        </w:drawing>
      </w:r>
      <w:r>
        <w:t xml:space="preserve"> «звездочка» красного цвета (рис. </w:t>
      </w:r>
      <w:r>
        <w:fldChar w:fldCharType="begin"/>
      </w:r>
      <w:r>
        <w:instrText xml:space="preserve"> REF  _Ref485202337 \h\#\0   \* MERGEFORMAT </w:instrText>
      </w:r>
      <w:r>
        <w:fldChar w:fldCharType="separate"/>
      </w:r>
      <w:r>
        <w:t>17</w:t>
      </w:r>
      <w:r>
        <w:fldChar w:fldCharType="end"/>
      </w:r>
      <w:r>
        <w:t>).</w:t>
      </w:r>
    </w:p>
    <w:p w14:paraId="27208DAE">
      <w:pPr>
        <w:pStyle w:val="73"/>
      </w:pPr>
      <w:r>
        <w:drawing>
          <wp:inline distT="0" distB="0" distL="0" distR="0">
            <wp:extent cx="5039995" cy="440055"/>
            <wp:effectExtent l="19050" t="19050" r="8255" b="17145"/>
            <wp:docPr id="3260088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008810" name="Рисунок 1"/>
                    <pic:cNvPicPr>
                      <a:picLocks noChangeAspect="1"/>
                    </pic:cNvPicPr>
                  </pic:nvPicPr>
                  <pic:blipFill>
                    <a:blip r:embed="rId37"/>
                    <a:stretch>
                      <a:fillRect/>
                    </a:stretch>
                  </pic:blipFill>
                  <pic:spPr>
                    <a:xfrm>
                      <a:off x="0" y="0"/>
                      <a:ext cx="5040000" cy="440657"/>
                    </a:xfrm>
                    <a:prstGeom prst="rect">
                      <a:avLst/>
                    </a:prstGeom>
                    <a:ln w="3175" cmpd="sng">
                      <a:solidFill>
                        <a:srgbClr val="000000"/>
                      </a:solidFill>
                    </a:ln>
                  </pic:spPr>
                </pic:pic>
              </a:graphicData>
            </a:graphic>
          </wp:inline>
        </w:drawing>
      </w:r>
    </w:p>
    <w:p w14:paraId="26E81BF0">
      <w:pPr>
        <w:pStyle w:val="74"/>
      </w:pPr>
      <w:bookmarkStart w:id="152" w:name="_Ref485202337"/>
      <w:r>
        <w:t xml:space="preserve">Рисунок </w:t>
      </w:r>
      <w:r>
        <w:fldChar w:fldCharType="begin"/>
      </w:r>
      <w:r>
        <w:instrText xml:space="preserve"> SEQ Рисунок \* ARABIC </w:instrText>
      </w:r>
      <w:r>
        <w:fldChar w:fldCharType="separate"/>
      </w:r>
      <w:r>
        <w:t>17</w:t>
      </w:r>
      <w:r>
        <w:fldChar w:fldCharType="end"/>
      </w:r>
      <w:bookmarkEnd w:id="152"/>
      <w:r>
        <w:t xml:space="preserve"> — Пример поля, обязательного для заполнения</w:t>
      </w:r>
    </w:p>
    <w:p w14:paraId="318483DB">
      <w:pPr>
        <w:pStyle w:val="69"/>
      </w:pPr>
      <w:r>
        <w:t>Если обязательное поле не заполнено, то при попытке сохранить данные:</w:t>
      </w:r>
    </w:p>
    <w:p w14:paraId="43C32ED7">
      <w:pPr>
        <w:pStyle w:val="76"/>
      </w:pPr>
      <w:r>
        <w:t>поле подсвечивается красным;</w:t>
      </w:r>
    </w:p>
    <w:p w14:paraId="31E8D67B">
      <w:pPr>
        <w:pStyle w:val="76"/>
      </w:pPr>
      <w:r>
        <w:t xml:space="preserve">отображается предупреждение: «Поле обязательно для заполнения» (рис. </w:t>
      </w:r>
      <w:r>
        <w:fldChar w:fldCharType="begin"/>
      </w:r>
      <w:r>
        <w:instrText xml:space="preserve"> REF  _Ref438718455 \h\#\0   \* MERGEFORMAT </w:instrText>
      </w:r>
      <w:r>
        <w:fldChar w:fldCharType="separate"/>
      </w:r>
      <w:r>
        <w:t>18</w:t>
      </w:r>
      <w:r>
        <w:fldChar w:fldCharType="end"/>
      </w:r>
      <w:r>
        <w:t>).</w:t>
      </w:r>
    </w:p>
    <w:p w14:paraId="4C79077F">
      <w:pPr>
        <w:pStyle w:val="73"/>
      </w:pPr>
      <w:r>
        <w:drawing>
          <wp:inline distT="0" distB="0" distL="0" distR="0">
            <wp:extent cx="5039995" cy="523875"/>
            <wp:effectExtent l="19050" t="19050" r="8255" b="28575"/>
            <wp:docPr id="4512275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27567" name="Рисунок 1"/>
                    <pic:cNvPicPr>
                      <a:picLocks noChangeAspect="1"/>
                    </pic:cNvPicPr>
                  </pic:nvPicPr>
                  <pic:blipFill>
                    <a:blip r:embed="rId38"/>
                    <a:stretch>
                      <a:fillRect/>
                    </a:stretch>
                  </pic:blipFill>
                  <pic:spPr>
                    <a:xfrm>
                      <a:off x="0" y="0"/>
                      <a:ext cx="5040000" cy="524235"/>
                    </a:xfrm>
                    <a:prstGeom prst="rect">
                      <a:avLst/>
                    </a:prstGeom>
                    <a:ln w="3175" cmpd="sng">
                      <a:solidFill>
                        <a:srgbClr val="000000"/>
                      </a:solidFill>
                    </a:ln>
                  </pic:spPr>
                </pic:pic>
              </a:graphicData>
            </a:graphic>
          </wp:inline>
        </w:drawing>
      </w:r>
    </w:p>
    <w:p w14:paraId="5A2172AB">
      <w:pPr>
        <w:pStyle w:val="74"/>
      </w:pPr>
      <w:bookmarkStart w:id="153" w:name="_Ref438718455"/>
      <w:r>
        <w:t xml:space="preserve">Рисунок </w:t>
      </w:r>
      <w:r>
        <w:fldChar w:fldCharType="begin"/>
      </w:r>
      <w:r>
        <w:instrText xml:space="preserve"> SEQ Рисунок \* ARABIC </w:instrText>
      </w:r>
      <w:r>
        <w:fldChar w:fldCharType="separate"/>
      </w:r>
      <w:r>
        <w:t>18</w:t>
      </w:r>
      <w:r>
        <w:fldChar w:fldCharType="end"/>
      </w:r>
      <w:bookmarkEnd w:id="153"/>
      <w:r>
        <w:t xml:space="preserve"> — Предупреждение об отсутствии значения в обязательном поле</w:t>
      </w:r>
    </w:p>
    <w:p w14:paraId="5038FAAA">
      <w:pPr>
        <w:pStyle w:val="69"/>
      </w:pPr>
      <w:r>
        <w:t>Некоторые формы документов содержат дополнительный набор операций с документом. Перечень доступных операций зависит от прав доступа пользователя, вида документа и текущего состояния документа.</w:t>
      </w:r>
    </w:p>
    <w:p w14:paraId="34F51EDB">
      <w:pPr>
        <w:pStyle w:val="69"/>
      </w:pPr>
      <w:r>
        <w:t xml:space="preserve">Чтобы раскрыть перечень доступных операций нажать значок </w:t>
      </w:r>
      <w:r>
        <w:rPr>
          <w:lang w:eastAsia="ru-RU"/>
        </w:rPr>
        <w:drawing>
          <wp:inline distT="0" distB="0" distL="0" distR="0">
            <wp:extent cx="171450" cy="228600"/>
            <wp:effectExtent l="19050" t="19050" r="19050" b="19050"/>
            <wp:docPr id="120543000" name="Рисунок 12054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3000" name="Рисунок 120543000"/>
                    <pic:cNvPicPr>
                      <a:picLocks noChangeAspect="1"/>
                    </pic:cNvPicPr>
                  </pic:nvPicPr>
                  <pic:blipFill>
                    <a:blip r:embed="rId39"/>
                    <a:stretch>
                      <a:fillRect/>
                    </a:stretch>
                  </pic:blipFill>
                  <pic:spPr>
                    <a:xfrm>
                      <a:off x="0" y="0"/>
                      <a:ext cx="171474" cy="228632"/>
                    </a:xfrm>
                    <a:prstGeom prst="rect">
                      <a:avLst/>
                    </a:prstGeom>
                    <a:ln w="3175" cmpd="sng">
                      <a:solidFill>
                        <a:srgbClr val="000000"/>
                      </a:solidFill>
                    </a:ln>
                  </pic:spPr>
                </pic:pic>
              </a:graphicData>
            </a:graphic>
          </wp:inline>
        </w:drawing>
      </w:r>
      <w:r>
        <w:t xml:space="preserve"> в столбце </w:t>
      </w:r>
      <w:r>
        <w:rPr>
          <w:lang w:eastAsia="ru-RU"/>
        </w:rPr>
        <w:drawing>
          <wp:inline distT="0" distB="0" distL="0" distR="0">
            <wp:extent cx="200025" cy="247650"/>
            <wp:effectExtent l="19050" t="19050" r="28575" b="19050"/>
            <wp:docPr id="1976910419" name="Рисунок 197691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910419" name="Рисунок 1976910419"/>
                    <pic:cNvPicPr>
                      <a:picLocks noChangeAspect="1"/>
                    </pic:cNvPicPr>
                  </pic:nvPicPr>
                  <pic:blipFill>
                    <a:blip r:embed="rId40"/>
                    <a:stretch>
                      <a:fillRect/>
                    </a:stretch>
                  </pic:blipFill>
                  <pic:spPr>
                    <a:xfrm>
                      <a:off x="0" y="0"/>
                      <a:ext cx="200053" cy="247685"/>
                    </a:xfrm>
                    <a:prstGeom prst="rect">
                      <a:avLst/>
                    </a:prstGeom>
                    <a:ln w="3175" cmpd="sng">
                      <a:solidFill>
                        <a:srgbClr val="000000"/>
                      </a:solidFill>
                    </a:ln>
                  </pic:spPr>
                </pic:pic>
              </a:graphicData>
            </a:graphic>
          </wp:inline>
        </w:drawing>
      </w:r>
      <w:r>
        <w:t xml:space="preserve"> «Настройки» (рис. </w:t>
      </w:r>
      <w:r>
        <w:fldChar w:fldCharType="begin"/>
      </w:r>
      <w:r>
        <w:instrText xml:space="preserve"> REF  _Ref155968501 \h\#0   \* MERGEFORMAT </w:instrText>
      </w:r>
      <w:r>
        <w:fldChar w:fldCharType="separate"/>
      </w:r>
      <w:r>
        <w:t>19</w:t>
      </w:r>
      <w:r>
        <w:fldChar w:fldCharType="end"/>
      </w:r>
      <w:r>
        <w:t>).</w:t>
      </w:r>
    </w:p>
    <w:p w14:paraId="3AAD7BE5">
      <w:pPr>
        <w:pStyle w:val="73"/>
      </w:pPr>
      <w:r>
        <w:drawing>
          <wp:inline distT="0" distB="0" distL="0" distR="0">
            <wp:extent cx="5399405" cy="1130300"/>
            <wp:effectExtent l="19050" t="19050" r="10795" b="12700"/>
            <wp:docPr id="134130913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309135" name="Рисунок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400000" cy="1130350"/>
                    </a:xfrm>
                    <a:prstGeom prst="rect">
                      <a:avLst/>
                    </a:prstGeom>
                    <a:noFill/>
                    <a:ln w="3175" cmpd="sng">
                      <a:solidFill>
                        <a:srgbClr val="000000"/>
                      </a:solidFill>
                    </a:ln>
                  </pic:spPr>
                </pic:pic>
              </a:graphicData>
            </a:graphic>
          </wp:inline>
        </w:drawing>
      </w:r>
    </w:p>
    <w:p w14:paraId="3EB0191A">
      <w:pPr>
        <w:pStyle w:val="74"/>
      </w:pPr>
      <w:bookmarkStart w:id="154" w:name="_Ref155968501"/>
      <w:r>
        <w:t xml:space="preserve">Рисунок </w:t>
      </w:r>
      <w:r>
        <w:fldChar w:fldCharType="begin"/>
      </w:r>
      <w:r>
        <w:instrText xml:space="preserve"> SEQ Рисунок \* ARABIC </w:instrText>
      </w:r>
      <w:r>
        <w:fldChar w:fldCharType="separate"/>
      </w:r>
      <w:r>
        <w:t>19</w:t>
      </w:r>
      <w:r>
        <w:fldChar w:fldCharType="end"/>
      </w:r>
      <w:bookmarkEnd w:id="154"/>
      <w:r>
        <w:t xml:space="preserve"> — Вызов доступных операций</w:t>
      </w:r>
    </w:p>
    <w:p w14:paraId="187B77AD">
      <w:pPr>
        <w:pStyle w:val="57"/>
      </w:pPr>
      <w:bookmarkStart w:id="155" w:name="_Toc158722014"/>
      <w:bookmarkEnd w:id="155"/>
      <w:bookmarkStart w:id="156" w:name="_Toc162359559"/>
      <w:bookmarkEnd w:id="156"/>
      <w:bookmarkStart w:id="157" w:name="_Toc158719445"/>
      <w:bookmarkEnd w:id="157"/>
      <w:bookmarkStart w:id="158" w:name="_Toc158722742"/>
      <w:bookmarkEnd w:id="158"/>
      <w:bookmarkStart w:id="159" w:name="_Toc158721279"/>
      <w:bookmarkEnd w:id="159"/>
      <w:bookmarkStart w:id="160" w:name="_Toc162361644"/>
      <w:bookmarkEnd w:id="160"/>
      <w:bookmarkStart w:id="161" w:name="_Toc158719443"/>
      <w:bookmarkEnd w:id="161"/>
      <w:bookmarkStart w:id="162" w:name="_Toc158720175"/>
      <w:bookmarkEnd w:id="162"/>
      <w:bookmarkStart w:id="163" w:name="_Toc158721278"/>
      <w:bookmarkEnd w:id="163"/>
      <w:bookmarkStart w:id="164" w:name="_Toc158722013"/>
      <w:bookmarkEnd w:id="164"/>
      <w:bookmarkStart w:id="165" w:name="_Toc162361645"/>
      <w:bookmarkEnd w:id="165"/>
      <w:bookmarkStart w:id="166" w:name="_Toc158733989"/>
      <w:bookmarkEnd w:id="166"/>
      <w:bookmarkStart w:id="167" w:name="_Toc158720176"/>
      <w:bookmarkEnd w:id="167"/>
      <w:bookmarkStart w:id="168" w:name="_Toc162361646"/>
      <w:bookmarkEnd w:id="168"/>
      <w:bookmarkStart w:id="169" w:name="_Toc158719442"/>
      <w:bookmarkEnd w:id="169"/>
      <w:bookmarkStart w:id="170" w:name="_Toc162359557"/>
      <w:bookmarkEnd w:id="170"/>
      <w:bookmarkStart w:id="171" w:name="_Toc158722743"/>
      <w:bookmarkEnd w:id="171"/>
      <w:bookmarkStart w:id="172" w:name="_Toc158722012"/>
      <w:bookmarkEnd w:id="172"/>
      <w:bookmarkStart w:id="173" w:name="_Toc158720174"/>
      <w:bookmarkEnd w:id="173"/>
      <w:bookmarkStart w:id="174" w:name="_Toc158733988"/>
      <w:bookmarkEnd w:id="174"/>
      <w:bookmarkStart w:id="175" w:name="_Toc162359558"/>
      <w:bookmarkEnd w:id="175"/>
      <w:bookmarkStart w:id="176" w:name="_Toc158719444"/>
      <w:bookmarkEnd w:id="176"/>
      <w:bookmarkStart w:id="177" w:name="_Toc158721280"/>
      <w:bookmarkEnd w:id="177"/>
      <w:bookmarkStart w:id="178" w:name="_Toc158722744"/>
      <w:bookmarkEnd w:id="178"/>
      <w:bookmarkStart w:id="179" w:name="_Toc158733990"/>
      <w:bookmarkEnd w:id="179"/>
      <w:bookmarkStart w:id="180" w:name="_Toc158722745"/>
      <w:bookmarkEnd w:id="180"/>
      <w:bookmarkStart w:id="181" w:name="_Toc158722748"/>
      <w:bookmarkEnd w:id="181"/>
      <w:bookmarkStart w:id="182" w:name="_Toc158733996"/>
      <w:bookmarkEnd w:id="182"/>
      <w:bookmarkStart w:id="183" w:name="_Toc158720177"/>
      <w:bookmarkEnd w:id="183"/>
      <w:bookmarkStart w:id="184" w:name="_Toc158721282"/>
      <w:bookmarkEnd w:id="184"/>
      <w:bookmarkStart w:id="185" w:name="_Toc158722021"/>
      <w:bookmarkEnd w:id="185"/>
      <w:bookmarkStart w:id="186" w:name="_Toc162361649"/>
      <w:bookmarkEnd w:id="186"/>
      <w:bookmarkStart w:id="187" w:name="_Toc158719448"/>
      <w:bookmarkEnd w:id="187"/>
      <w:bookmarkStart w:id="188" w:name="_Toc158720180"/>
      <w:bookmarkEnd w:id="188"/>
      <w:bookmarkStart w:id="189" w:name="_Toc158721285"/>
      <w:bookmarkEnd w:id="189"/>
      <w:bookmarkStart w:id="190" w:name="_Toc162359561"/>
      <w:bookmarkEnd w:id="190"/>
      <w:bookmarkStart w:id="191" w:name="_Toc158722017"/>
      <w:bookmarkEnd w:id="191"/>
      <w:bookmarkStart w:id="192" w:name="_Toc158722747"/>
      <w:bookmarkEnd w:id="192"/>
      <w:bookmarkStart w:id="193" w:name="_Toc158722019"/>
      <w:bookmarkEnd w:id="193"/>
      <w:bookmarkStart w:id="194" w:name="_Toc162359564"/>
      <w:bookmarkEnd w:id="194"/>
      <w:bookmarkStart w:id="195" w:name="_Toc158722016"/>
      <w:bookmarkEnd w:id="195"/>
      <w:bookmarkStart w:id="196" w:name="_Toc158722015"/>
      <w:bookmarkEnd w:id="196"/>
      <w:bookmarkStart w:id="197" w:name="_Toc158719451"/>
      <w:bookmarkEnd w:id="197"/>
      <w:bookmarkStart w:id="198" w:name="_Toc162361651"/>
      <w:bookmarkEnd w:id="198"/>
      <w:bookmarkStart w:id="199" w:name="_Toc158721283"/>
      <w:bookmarkEnd w:id="199"/>
      <w:bookmarkStart w:id="200" w:name="_Toc162359566"/>
      <w:bookmarkEnd w:id="200"/>
      <w:bookmarkStart w:id="201" w:name="_Toc162361653"/>
      <w:bookmarkEnd w:id="201"/>
      <w:bookmarkStart w:id="202" w:name="_Toc158720179"/>
      <w:bookmarkEnd w:id="202"/>
      <w:bookmarkStart w:id="203" w:name="_Toc158720182"/>
      <w:bookmarkEnd w:id="203"/>
      <w:bookmarkStart w:id="204" w:name="_Toc158719446"/>
      <w:bookmarkEnd w:id="204"/>
      <w:bookmarkStart w:id="205" w:name="_Toc158720178"/>
      <w:bookmarkEnd w:id="205"/>
      <w:bookmarkStart w:id="206" w:name="_Toc162359560"/>
      <w:bookmarkEnd w:id="206"/>
      <w:bookmarkStart w:id="207" w:name="_Toc158719447"/>
      <w:bookmarkEnd w:id="207"/>
      <w:bookmarkStart w:id="208" w:name="_Toc158721286"/>
      <w:bookmarkEnd w:id="208"/>
      <w:bookmarkStart w:id="209" w:name="_Toc158722020"/>
      <w:bookmarkEnd w:id="209"/>
      <w:bookmarkStart w:id="210" w:name="_Toc162361652"/>
      <w:bookmarkEnd w:id="210"/>
      <w:bookmarkStart w:id="211" w:name="_Toc158719450"/>
      <w:bookmarkEnd w:id="211"/>
      <w:bookmarkStart w:id="212" w:name="_Toc158719449"/>
      <w:bookmarkEnd w:id="212"/>
      <w:bookmarkStart w:id="213" w:name="_Toc158721281"/>
      <w:bookmarkEnd w:id="213"/>
      <w:bookmarkStart w:id="214" w:name="_Toc158733995"/>
      <w:bookmarkEnd w:id="214"/>
      <w:bookmarkStart w:id="215" w:name="_Toc162361650"/>
      <w:bookmarkEnd w:id="215"/>
      <w:bookmarkStart w:id="216" w:name="_Toc158720183"/>
      <w:bookmarkEnd w:id="216"/>
      <w:bookmarkStart w:id="217" w:name="_Toc158722018"/>
      <w:bookmarkEnd w:id="217"/>
      <w:bookmarkStart w:id="218" w:name="_Toc158721287"/>
      <w:bookmarkEnd w:id="218"/>
      <w:bookmarkStart w:id="219" w:name="_Toc158733991"/>
      <w:bookmarkEnd w:id="219"/>
      <w:bookmarkStart w:id="220" w:name="_Toc162361648"/>
      <w:bookmarkEnd w:id="220"/>
      <w:bookmarkStart w:id="221" w:name="_Toc158722751"/>
      <w:bookmarkEnd w:id="221"/>
      <w:bookmarkStart w:id="222" w:name="_Toc158721288"/>
      <w:bookmarkEnd w:id="222"/>
      <w:bookmarkStart w:id="223" w:name="_Toc158722022"/>
      <w:bookmarkEnd w:id="223"/>
      <w:bookmarkStart w:id="224" w:name="_Toc158733998"/>
      <w:bookmarkEnd w:id="224"/>
      <w:bookmarkStart w:id="225" w:name="_Toc162361647"/>
      <w:bookmarkEnd w:id="225"/>
      <w:bookmarkStart w:id="226" w:name="_Toc158733997"/>
      <w:bookmarkEnd w:id="226"/>
      <w:bookmarkStart w:id="227" w:name="_Toc162359567"/>
      <w:bookmarkEnd w:id="227"/>
      <w:bookmarkStart w:id="228" w:name="_Toc158719453"/>
      <w:bookmarkEnd w:id="228"/>
      <w:bookmarkStart w:id="229" w:name="_Toc158721284"/>
      <w:bookmarkEnd w:id="229"/>
      <w:bookmarkStart w:id="230" w:name="_Toc158733992"/>
      <w:bookmarkEnd w:id="230"/>
      <w:bookmarkStart w:id="231" w:name="_Toc158722750"/>
      <w:bookmarkEnd w:id="231"/>
      <w:bookmarkStart w:id="232" w:name="_Toc162361654"/>
      <w:bookmarkEnd w:id="232"/>
      <w:bookmarkStart w:id="233" w:name="_Toc158720181"/>
      <w:bookmarkEnd w:id="233"/>
      <w:bookmarkStart w:id="234" w:name="_Toc158722746"/>
      <w:bookmarkEnd w:id="234"/>
      <w:bookmarkStart w:id="235" w:name="_Toc158720184"/>
      <w:bookmarkEnd w:id="235"/>
      <w:bookmarkStart w:id="236" w:name="_Toc162359565"/>
      <w:bookmarkEnd w:id="236"/>
      <w:bookmarkStart w:id="237" w:name="_Toc158722749"/>
      <w:bookmarkEnd w:id="237"/>
      <w:bookmarkStart w:id="238" w:name="_Toc162359563"/>
      <w:bookmarkEnd w:id="238"/>
      <w:bookmarkStart w:id="239" w:name="_Toc158722752"/>
      <w:bookmarkEnd w:id="239"/>
      <w:bookmarkStart w:id="240" w:name="_Toc158733993"/>
      <w:bookmarkEnd w:id="240"/>
      <w:bookmarkStart w:id="241" w:name="_Toc162359562"/>
      <w:bookmarkEnd w:id="241"/>
      <w:bookmarkStart w:id="242" w:name="_Toc158733994"/>
      <w:bookmarkEnd w:id="242"/>
      <w:bookmarkStart w:id="243" w:name="_Toc158719452"/>
      <w:bookmarkEnd w:id="243"/>
      <w:bookmarkStart w:id="244" w:name="_Toc162359572"/>
      <w:bookmarkEnd w:id="244"/>
      <w:bookmarkStart w:id="245" w:name="_Toc162359568"/>
      <w:bookmarkEnd w:id="245"/>
      <w:bookmarkStart w:id="246" w:name="_Toc158719454"/>
      <w:bookmarkEnd w:id="246"/>
      <w:bookmarkStart w:id="247" w:name="_Toc158734000"/>
      <w:bookmarkEnd w:id="247"/>
      <w:bookmarkStart w:id="248" w:name="_Toc158722025"/>
      <w:bookmarkEnd w:id="248"/>
      <w:bookmarkStart w:id="249" w:name="_Toc158719456"/>
      <w:bookmarkEnd w:id="249"/>
      <w:bookmarkStart w:id="250" w:name="_Toc158722023"/>
      <w:bookmarkEnd w:id="250"/>
      <w:bookmarkStart w:id="251" w:name="_Toc158722758"/>
      <w:bookmarkEnd w:id="251"/>
      <w:bookmarkStart w:id="252" w:name="_Toc158722754"/>
      <w:bookmarkEnd w:id="252"/>
      <w:bookmarkStart w:id="253" w:name="_Toc158720187"/>
      <w:bookmarkEnd w:id="253"/>
      <w:bookmarkStart w:id="254" w:name="_Toc162361658"/>
      <w:bookmarkEnd w:id="254"/>
      <w:bookmarkStart w:id="255" w:name="_Toc158720191"/>
      <w:bookmarkEnd w:id="255"/>
      <w:bookmarkStart w:id="256" w:name="_Toc158722755"/>
      <w:bookmarkEnd w:id="256"/>
      <w:bookmarkStart w:id="257" w:name="_Toc158734002"/>
      <w:bookmarkEnd w:id="257"/>
      <w:bookmarkStart w:id="258" w:name="_Toc158721293"/>
      <w:bookmarkEnd w:id="258"/>
      <w:bookmarkStart w:id="259" w:name="_Toc158722757"/>
      <w:bookmarkEnd w:id="259"/>
      <w:bookmarkStart w:id="260" w:name="_Toc162361659"/>
      <w:bookmarkEnd w:id="260"/>
      <w:bookmarkStart w:id="261" w:name="_Toc158722028"/>
      <w:bookmarkEnd w:id="261"/>
      <w:bookmarkStart w:id="262" w:name="_Toc158721295"/>
      <w:bookmarkEnd w:id="262"/>
      <w:bookmarkStart w:id="263" w:name="_Toc158721289"/>
      <w:bookmarkEnd w:id="263"/>
      <w:bookmarkStart w:id="264" w:name="_Toc158722756"/>
      <w:bookmarkEnd w:id="264"/>
      <w:bookmarkStart w:id="265" w:name="_Toc158722026"/>
      <w:bookmarkEnd w:id="265"/>
      <w:bookmarkStart w:id="266" w:name="_Toc162359571"/>
      <w:bookmarkEnd w:id="266"/>
      <w:bookmarkStart w:id="267" w:name="_Toc162359573"/>
      <w:bookmarkEnd w:id="267"/>
      <w:bookmarkStart w:id="268" w:name="_Toc158720186"/>
      <w:bookmarkEnd w:id="268"/>
      <w:bookmarkStart w:id="269" w:name="_Toc158719459"/>
      <w:bookmarkEnd w:id="269"/>
      <w:bookmarkStart w:id="270" w:name="_Toc158722027"/>
      <w:bookmarkEnd w:id="270"/>
      <w:bookmarkStart w:id="271" w:name="_Toc158721294"/>
      <w:bookmarkEnd w:id="271"/>
      <w:bookmarkStart w:id="272" w:name="_Toc158722759"/>
      <w:bookmarkEnd w:id="272"/>
      <w:bookmarkStart w:id="273" w:name="_Toc158719460"/>
      <w:bookmarkEnd w:id="273"/>
      <w:bookmarkStart w:id="274" w:name="_Toc158733999"/>
      <w:bookmarkEnd w:id="274"/>
      <w:bookmarkStart w:id="275" w:name="_Toc158720188"/>
      <w:bookmarkEnd w:id="275"/>
      <w:bookmarkStart w:id="276" w:name="_Toc158720185"/>
      <w:bookmarkEnd w:id="276"/>
      <w:bookmarkStart w:id="277" w:name="_Toc158721290"/>
      <w:bookmarkEnd w:id="277"/>
      <w:bookmarkStart w:id="278" w:name="_Toc158720189"/>
      <w:bookmarkEnd w:id="278"/>
      <w:bookmarkStart w:id="279" w:name="_Toc162361656"/>
      <w:bookmarkEnd w:id="279"/>
      <w:bookmarkStart w:id="280" w:name="_Toc158734001"/>
      <w:bookmarkEnd w:id="280"/>
      <w:bookmarkStart w:id="281" w:name="_Toc162359569"/>
      <w:bookmarkEnd w:id="281"/>
      <w:bookmarkStart w:id="282" w:name="_Toc158721291"/>
      <w:bookmarkEnd w:id="282"/>
      <w:bookmarkStart w:id="283" w:name="_Toc158719458"/>
      <w:bookmarkEnd w:id="283"/>
      <w:bookmarkStart w:id="284" w:name="_Toc162361655"/>
      <w:bookmarkEnd w:id="284"/>
      <w:bookmarkStart w:id="285" w:name="_Toc158720190"/>
      <w:bookmarkEnd w:id="285"/>
      <w:bookmarkStart w:id="286" w:name="_Toc158719455"/>
      <w:bookmarkEnd w:id="286"/>
      <w:bookmarkStart w:id="287" w:name="_Toc162359570"/>
      <w:bookmarkEnd w:id="287"/>
      <w:bookmarkStart w:id="288" w:name="_Toc162361657"/>
      <w:bookmarkEnd w:id="288"/>
      <w:bookmarkStart w:id="289" w:name="_Toc158734004"/>
      <w:bookmarkEnd w:id="289"/>
      <w:bookmarkStart w:id="290" w:name="_Toc158722024"/>
      <w:bookmarkEnd w:id="290"/>
      <w:bookmarkStart w:id="291" w:name="_Toc158722753"/>
      <w:bookmarkEnd w:id="291"/>
      <w:bookmarkStart w:id="292" w:name="_Toc158734003"/>
      <w:bookmarkEnd w:id="292"/>
      <w:bookmarkStart w:id="293" w:name="_Toc162361660"/>
      <w:bookmarkEnd w:id="293"/>
      <w:bookmarkStart w:id="294" w:name="_Toc158722029"/>
      <w:bookmarkEnd w:id="294"/>
      <w:bookmarkStart w:id="295" w:name="_Toc162359574"/>
      <w:bookmarkEnd w:id="295"/>
      <w:bookmarkStart w:id="296" w:name="_Toc158734005"/>
      <w:bookmarkEnd w:id="296"/>
      <w:bookmarkStart w:id="297" w:name="_Toc162361661"/>
      <w:bookmarkEnd w:id="297"/>
      <w:bookmarkStart w:id="298" w:name="_Toc158719457"/>
      <w:bookmarkEnd w:id="298"/>
      <w:bookmarkStart w:id="299" w:name="_Toc158721292"/>
      <w:bookmarkEnd w:id="299"/>
      <w:bookmarkStart w:id="300" w:name="_Toc158720192"/>
      <w:bookmarkEnd w:id="300"/>
      <w:bookmarkStart w:id="301" w:name="_Toc158734006"/>
      <w:bookmarkEnd w:id="301"/>
      <w:bookmarkStart w:id="302" w:name="_Toc162359577"/>
      <w:bookmarkEnd w:id="302"/>
      <w:bookmarkStart w:id="303" w:name="_Toc158722764"/>
      <w:bookmarkEnd w:id="303"/>
      <w:bookmarkStart w:id="304" w:name="_Toc158722763"/>
      <w:bookmarkEnd w:id="304"/>
      <w:bookmarkStart w:id="305" w:name="_Toc162361667"/>
      <w:bookmarkEnd w:id="305"/>
      <w:bookmarkStart w:id="306" w:name="_Toc158719464"/>
      <w:bookmarkEnd w:id="306"/>
      <w:bookmarkStart w:id="307" w:name="_Toc158720198"/>
      <w:bookmarkEnd w:id="307"/>
      <w:bookmarkStart w:id="308" w:name="_Toc158722765"/>
      <w:bookmarkEnd w:id="308"/>
      <w:bookmarkStart w:id="309" w:name="_Toc158722031"/>
      <w:bookmarkEnd w:id="309"/>
      <w:bookmarkStart w:id="310" w:name="_Toc162361663"/>
      <w:bookmarkEnd w:id="310"/>
      <w:bookmarkStart w:id="311" w:name="_Toc158722034"/>
      <w:bookmarkEnd w:id="311"/>
      <w:bookmarkStart w:id="312" w:name="_Toc158734012"/>
      <w:bookmarkEnd w:id="312"/>
      <w:bookmarkStart w:id="313" w:name="_Toc158722761"/>
      <w:bookmarkEnd w:id="313"/>
      <w:bookmarkStart w:id="314" w:name="_Toc162359581"/>
      <w:bookmarkEnd w:id="314"/>
      <w:bookmarkStart w:id="315" w:name="_Toc162361665"/>
      <w:bookmarkEnd w:id="315"/>
      <w:bookmarkStart w:id="316" w:name="_Toc158721303"/>
      <w:bookmarkEnd w:id="316"/>
      <w:bookmarkStart w:id="317" w:name="_Toc158721296"/>
      <w:bookmarkEnd w:id="317"/>
      <w:bookmarkStart w:id="318" w:name="_Toc158720195"/>
      <w:bookmarkEnd w:id="318"/>
      <w:bookmarkStart w:id="319" w:name="_Toc158719462"/>
      <w:bookmarkEnd w:id="319"/>
      <w:bookmarkStart w:id="320" w:name="_Toc158722767"/>
      <w:bookmarkEnd w:id="320"/>
      <w:bookmarkStart w:id="321" w:name="_Toc158734013"/>
      <w:bookmarkEnd w:id="321"/>
      <w:bookmarkStart w:id="322" w:name="_Toc162361669"/>
      <w:bookmarkEnd w:id="322"/>
      <w:bookmarkStart w:id="323" w:name="_Toc158722035"/>
      <w:bookmarkEnd w:id="323"/>
      <w:bookmarkStart w:id="324" w:name="_Toc158721298"/>
      <w:bookmarkEnd w:id="324"/>
      <w:bookmarkStart w:id="325" w:name="_Toc158722762"/>
      <w:bookmarkEnd w:id="325"/>
      <w:bookmarkStart w:id="326" w:name="_Toc158722032"/>
      <w:bookmarkEnd w:id="326"/>
      <w:bookmarkStart w:id="327" w:name="_Toc158720197"/>
      <w:bookmarkEnd w:id="327"/>
      <w:bookmarkStart w:id="328" w:name="_Toc158721302"/>
      <w:bookmarkEnd w:id="328"/>
      <w:bookmarkStart w:id="329" w:name="_Toc158719468"/>
      <w:bookmarkEnd w:id="329"/>
      <w:bookmarkStart w:id="330" w:name="_Toc158720200"/>
      <w:bookmarkEnd w:id="330"/>
      <w:bookmarkStart w:id="331" w:name="_Toc158719463"/>
      <w:bookmarkEnd w:id="331"/>
      <w:bookmarkStart w:id="332" w:name="_Toc158720194"/>
      <w:bookmarkEnd w:id="332"/>
      <w:bookmarkStart w:id="333" w:name="_Toc158720193"/>
      <w:bookmarkEnd w:id="333"/>
      <w:bookmarkStart w:id="334" w:name="_Toc162359576"/>
      <w:bookmarkEnd w:id="334"/>
      <w:bookmarkStart w:id="335" w:name="_Toc158722033"/>
      <w:bookmarkEnd w:id="335"/>
      <w:bookmarkStart w:id="336" w:name="_Toc158719461"/>
      <w:bookmarkEnd w:id="336"/>
      <w:bookmarkStart w:id="337" w:name="_Toc158721299"/>
      <w:bookmarkEnd w:id="337"/>
      <w:bookmarkStart w:id="338" w:name="_Toc158722760"/>
      <w:bookmarkEnd w:id="338"/>
      <w:bookmarkStart w:id="339" w:name="_Toc158734009"/>
      <w:bookmarkEnd w:id="339"/>
      <w:bookmarkStart w:id="340" w:name="_Toc162361666"/>
      <w:bookmarkEnd w:id="340"/>
      <w:bookmarkStart w:id="341" w:name="_Toc158721301"/>
      <w:bookmarkEnd w:id="341"/>
      <w:bookmarkStart w:id="342" w:name="_Toc162359580"/>
      <w:bookmarkEnd w:id="342"/>
      <w:bookmarkStart w:id="343" w:name="_Toc158722036"/>
      <w:bookmarkEnd w:id="343"/>
      <w:bookmarkStart w:id="344" w:name="_Toc162361668"/>
      <w:bookmarkEnd w:id="344"/>
      <w:bookmarkStart w:id="345" w:name="_Toc158719467"/>
      <w:bookmarkEnd w:id="345"/>
      <w:bookmarkStart w:id="346" w:name="_Toc158719466"/>
      <w:bookmarkEnd w:id="346"/>
      <w:bookmarkStart w:id="347" w:name="_Toc162359578"/>
      <w:bookmarkEnd w:id="347"/>
      <w:bookmarkStart w:id="348" w:name="_Toc158722037"/>
      <w:bookmarkEnd w:id="348"/>
      <w:bookmarkStart w:id="349" w:name="_Toc158720199"/>
      <w:bookmarkEnd w:id="349"/>
      <w:bookmarkStart w:id="350" w:name="_Toc158722030"/>
      <w:bookmarkEnd w:id="350"/>
      <w:bookmarkStart w:id="351" w:name="_Toc158734008"/>
      <w:bookmarkEnd w:id="351"/>
      <w:bookmarkStart w:id="352" w:name="_Toc158719465"/>
      <w:bookmarkEnd w:id="352"/>
      <w:bookmarkStart w:id="353" w:name="_Toc158722766"/>
      <w:bookmarkEnd w:id="353"/>
      <w:bookmarkStart w:id="354" w:name="_Toc158721297"/>
      <w:bookmarkEnd w:id="354"/>
      <w:bookmarkStart w:id="355" w:name="_Toc158721300"/>
      <w:bookmarkEnd w:id="355"/>
      <w:bookmarkStart w:id="356" w:name="_Toc158734010"/>
      <w:bookmarkEnd w:id="356"/>
      <w:bookmarkStart w:id="357" w:name="_Toc162361664"/>
      <w:bookmarkEnd w:id="357"/>
      <w:bookmarkStart w:id="358" w:name="_Toc158734007"/>
      <w:bookmarkEnd w:id="358"/>
      <w:bookmarkStart w:id="359" w:name="_Toc162361662"/>
      <w:bookmarkEnd w:id="359"/>
      <w:bookmarkStart w:id="360" w:name="_Toc162359579"/>
      <w:bookmarkEnd w:id="360"/>
      <w:bookmarkStart w:id="361" w:name="_Toc158734011"/>
      <w:bookmarkEnd w:id="361"/>
      <w:bookmarkStart w:id="362" w:name="_Toc162359575"/>
      <w:bookmarkEnd w:id="362"/>
      <w:bookmarkStart w:id="363" w:name="_Toc158720196"/>
      <w:bookmarkEnd w:id="363"/>
      <w:bookmarkStart w:id="364" w:name="_Toc162359582"/>
      <w:bookmarkEnd w:id="364"/>
      <w:bookmarkStart w:id="365" w:name="_Toc162359583"/>
      <w:bookmarkEnd w:id="365"/>
      <w:bookmarkStart w:id="366" w:name="_Toc158734014"/>
      <w:bookmarkEnd w:id="366"/>
      <w:bookmarkStart w:id="367" w:name="_Описание_операций"/>
      <w:bookmarkEnd w:id="367"/>
      <w:bookmarkStart w:id="368" w:name="_Toc158722768"/>
      <w:bookmarkEnd w:id="368"/>
      <w:bookmarkStart w:id="369" w:name="_Toc162361670"/>
      <w:bookmarkEnd w:id="369"/>
      <w:bookmarkStart w:id="370" w:name="_Toc158721304"/>
      <w:bookmarkEnd w:id="370"/>
      <w:bookmarkStart w:id="371" w:name="_Toc158722038"/>
      <w:bookmarkEnd w:id="371"/>
      <w:bookmarkStart w:id="372" w:name="_Ref120264949"/>
      <w:bookmarkStart w:id="373" w:name="_Toc225866318"/>
      <w:bookmarkStart w:id="374" w:name="_Toc150261768"/>
      <w:bookmarkStart w:id="375" w:name="_Ref120264918"/>
      <w:r>
        <w:t>Описание операций</w:t>
      </w:r>
      <w:bookmarkEnd w:id="372"/>
      <w:bookmarkEnd w:id="373"/>
      <w:bookmarkEnd w:id="374"/>
      <w:bookmarkEnd w:id="375"/>
    </w:p>
    <w:p w14:paraId="7050A34F">
      <w:pPr>
        <w:pStyle w:val="58"/>
      </w:pPr>
      <w:bookmarkStart w:id="376" w:name="_Toc131174694"/>
      <w:bookmarkStart w:id="377" w:name="_Toc150261769"/>
      <w:bookmarkStart w:id="378" w:name="_Toc225866319"/>
      <w:r>
        <w:t>Перечень выполняемых операций и задач</w:t>
      </w:r>
      <w:bookmarkEnd w:id="376"/>
      <w:bookmarkEnd w:id="377"/>
      <w:bookmarkEnd w:id="378"/>
    </w:p>
    <w:p w14:paraId="6FD1D4E1">
      <w:pPr>
        <w:pStyle w:val="69"/>
      </w:pPr>
      <w:r>
        <w:t xml:space="preserve">Описание операций, выполняемых с использованием АРМ сотрудника ТФОМС, приведено в привязке к разделам пользовательского интерфейса ФПУМП. Для переключения между разделами и отображения содержимого раздела в подсистеме реализованы вкладки. Наименование вкладок и перечень выполняемых операций и задач представлены в таблице </w:t>
      </w:r>
      <w:r>
        <w:fldChar w:fldCharType="begin"/>
      </w:r>
      <w:r>
        <w:instrText xml:space="preserve"> REF  _Ref150328938 \h\#\0   \* MERGEFORMAT </w:instrText>
      </w:r>
      <w:r>
        <w:fldChar w:fldCharType="separate"/>
      </w:r>
      <w:r>
        <w:t>1</w:t>
      </w:r>
      <w:r>
        <w:fldChar w:fldCharType="end"/>
      </w:r>
      <w:r>
        <w:t>.</w:t>
      </w:r>
    </w:p>
    <w:p w14:paraId="5FE0AE01">
      <w:pPr>
        <w:pStyle w:val="84"/>
      </w:pPr>
      <w:bookmarkStart w:id="379" w:name="_Ref150328938"/>
      <w:r>
        <w:rPr>
          <w:rStyle w:val="72"/>
        </w:rPr>
        <w:t>Таблица</w:t>
      </w:r>
      <w:r>
        <w:t xml:space="preserve"> </w:t>
      </w:r>
      <w:r>
        <w:fldChar w:fldCharType="begin"/>
      </w:r>
      <w:r>
        <w:instrText xml:space="preserve"> SEQ Таблица \* ARABIC </w:instrText>
      </w:r>
      <w:r>
        <w:fldChar w:fldCharType="separate"/>
      </w:r>
      <w:r>
        <w:t>1</w:t>
      </w:r>
      <w:r>
        <w:fldChar w:fldCharType="end"/>
      </w:r>
      <w:bookmarkEnd w:id="379"/>
      <w:r>
        <w:t xml:space="preserve"> — Перечень выполняемых операций и задач</w:t>
      </w:r>
    </w:p>
    <w:tbl>
      <w:tblPr>
        <w:tblStyle w:val="3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57" w:type="dxa"/>
          <w:left w:w="57" w:type="dxa"/>
          <w:bottom w:w="57" w:type="dxa"/>
          <w:right w:w="57" w:type="dxa"/>
        </w:tblCellMar>
      </w:tblPr>
      <w:tblGrid>
        <w:gridCol w:w="2081"/>
        <w:gridCol w:w="1933"/>
        <w:gridCol w:w="2233"/>
        <w:gridCol w:w="2366"/>
        <w:gridCol w:w="1137"/>
      </w:tblGrid>
      <w:tr w14:paraId="406E8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blHeader/>
        </w:trPr>
        <w:tc>
          <w:tcPr>
            <w:tcW w:w="1067" w:type="pct"/>
            <w:tcBorders>
              <w:bottom w:val="double" w:color="auto" w:sz="4" w:space="0"/>
            </w:tcBorders>
            <w:vAlign w:val="center"/>
          </w:tcPr>
          <w:p w14:paraId="7BF6E509">
            <w:pPr>
              <w:pStyle w:val="79"/>
            </w:pPr>
            <w:r>
              <w:t>Вкладка</w:t>
            </w:r>
          </w:p>
        </w:tc>
        <w:tc>
          <w:tcPr>
            <w:tcW w:w="991" w:type="pct"/>
            <w:tcBorders>
              <w:bottom w:val="double" w:color="auto" w:sz="4" w:space="0"/>
            </w:tcBorders>
            <w:vAlign w:val="center"/>
          </w:tcPr>
          <w:p w14:paraId="49BD8F91">
            <w:pPr>
              <w:pStyle w:val="79"/>
            </w:pPr>
            <w:r>
              <w:t>Задача</w:t>
            </w:r>
          </w:p>
        </w:tc>
        <w:tc>
          <w:tcPr>
            <w:tcW w:w="1145" w:type="pct"/>
            <w:tcBorders>
              <w:bottom w:val="double" w:color="auto" w:sz="4" w:space="0"/>
            </w:tcBorders>
            <w:vAlign w:val="center"/>
          </w:tcPr>
          <w:p w14:paraId="08398CEA">
            <w:pPr>
              <w:pStyle w:val="79"/>
            </w:pPr>
            <w:r>
              <w:t>Операции</w:t>
            </w:r>
          </w:p>
        </w:tc>
        <w:tc>
          <w:tcPr>
            <w:tcW w:w="1213" w:type="pct"/>
            <w:tcBorders>
              <w:bottom w:val="double" w:color="auto" w:sz="4" w:space="0"/>
            </w:tcBorders>
          </w:tcPr>
          <w:p w14:paraId="22DF9B51">
            <w:pPr>
              <w:pStyle w:val="79"/>
            </w:pPr>
            <w:r>
              <w:t>Роль пользователя</w:t>
            </w:r>
          </w:p>
        </w:tc>
        <w:tc>
          <w:tcPr>
            <w:tcW w:w="583" w:type="pct"/>
            <w:tcBorders>
              <w:bottom w:val="double" w:color="auto" w:sz="4" w:space="0"/>
            </w:tcBorders>
            <w:vAlign w:val="center"/>
          </w:tcPr>
          <w:p w14:paraId="77562FA4">
            <w:pPr>
              <w:pStyle w:val="79"/>
            </w:pPr>
            <w:r>
              <w:t>Пункт</w:t>
            </w:r>
          </w:p>
        </w:tc>
      </w:tr>
      <w:tr w14:paraId="1A7DB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restart"/>
            <w:tcBorders>
              <w:top w:val="single" w:color="auto" w:sz="4" w:space="0"/>
            </w:tcBorders>
          </w:tcPr>
          <w:p w14:paraId="6C8EA007">
            <w:pPr>
              <w:pStyle w:val="83"/>
            </w:pPr>
            <w:r>
              <w:t>Реестр счетов</w:t>
            </w:r>
          </w:p>
          <w:p w14:paraId="369E2B79">
            <w:pPr>
              <w:pStyle w:val="83"/>
            </w:pPr>
            <w:r>
              <w:t>(</w:t>
            </w:r>
            <w:r>
              <w:fldChar w:fldCharType="begin"/>
            </w:r>
            <w:r>
              <w:instrText xml:space="preserve"> REF _Ref147139672 \n \h  \* MERGEFORMAT </w:instrText>
            </w:r>
            <w:r>
              <w:fldChar w:fldCharType="separate"/>
            </w:r>
            <w:r>
              <w:t>4.2</w:t>
            </w:r>
            <w:r>
              <w:fldChar w:fldCharType="end"/>
            </w:r>
            <w:r>
              <w:t>)</w:t>
            </w:r>
          </w:p>
        </w:tc>
        <w:tc>
          <w:tcPr>
            <w:tcW w:w="991" w:type="pct"/>
            <w:vMerge w:val="restart"/>
            <w:tcBorders>
              <w:top w:val="single" w:color="auto" w:sz="4" w:space="0"/>
            </w:tcBorders>
          </w:tcPr>
          <w:p w14:paraId="6CF68F68">
            <w:pPr>
              <w:pStyle w:val="80"/>
            </w:pPr>
            <w:r>
              <w:t>Просмотр счетов МО</w:t>
            </w:r>
          </w:p>
        </w:tc>
        <w:tc>
          <w:tcPr>
            <w:tcW w:w="1145" w:type="pct"/>
            <w:tcBorders>
              <w:top w:val="single" w:color="auto" w:sz="4" w:space="0"/>
            </w:tcBorders>
          </w:tcPr>
          <w:p w14:paraId="49E86970">
            <w:pPr>
              <w:pStyle w:val="80"/>
            </w:pPr>
            <w:r>
              <w:t>Просмотр реестра счетов</w:t>
            </w:r>
          </w:p>
        </w:tc>
        <w:tc>
          <w:tcPr>
            <w:tcW w:w="1213" w:type="pct"/>
            <w:vMerge w:val="restart"/>
            <w:tcBorders>
              <w:top w:val="single" w:color="auto" w:sz="4" w:space="0"/>
            </w:tcBorders>
          </w:tcPr>
          <w:p w14:paraId="7E7A6B03">
            <w:pPr>
              <w:pStyle w:val="80"/>
            </w:pPr>
            <w:r>
              <w:t>Плательщик ТФОМС,</w:t>
            </w:r>
          </w:p>
          <w:p w14:paraId="7421D3D0">
            <w:pPr>
              <w:pStyle w:val="80"/>
            </w:pPr>
            <w:r>
              <w:t>Куратор по СМО, Куратор по МО, Администратор счетов субъекта</w:t>
            </w:r>
          </w:p>
        </w:tc>
        <w:tc>
          <w:tcPr>
            <w:tcW w:w="583" w:type="pct"/>
            <w:tcBorders>
              <w:top w:val="single" w:color="auto" w:sz="4" w:space="0"/>
            </w:tcBorders>
          </w:tcPr>
          <w:p w14:paraId="50C7C281">
            <w:pPr>
              <w:pStyle w:val="83"/>
            </w:pPr>
            <w:r>
              <w:fldChar w:fldCharType="begin"/>
            </w:r>
            <w:r>
              <w:instrText xml:space="preserve"> REF _Ref147163104 \n \h  \* MERGEFORMAT </w:instrText>
            </w:r>
            <w:r>
              <w:fldChar w:fldCharType="separate"/>
            </w:r>
            <w:r>
              <w:t>4.2.1</w:t>
            </w:r>
            <w:r>
              <w:fldChar w:fldCharType="end"/>
            </w:r>
          </w:p>
        </w:tc>
      </w:tr>
      <w:tr w14:paraId="4041B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63E5BA3B">
            <w:pPr>
              <w:pStyle w:val="83"/>
            </w:pPr>
          </w:p>
        </w:tc>
        <w:tc>
          <w:tcPr>
            <w:tcW w:w="991" w:type="pct"/>
            <w:vMerge w:val="continue"/>
          </w:tcPr>
          <w:p w14:paraId="7F265135">
            <w:pPr>
              <w:pStyle w:val="80"/>
            </w:pPr>
          </w:p>
        </w:tc>
        <w:tc>
          <w:tcPr>
            <w:tcW w:w="1145" w:type="pct"/>
            <w:tcBorders>
              <w:top w:val="single" w:color="auto" w:sz="4" w:space="0"/>
            </w:tcBorders>
          </w:tcPr>
          <w:p w14:paraId="7C064E0B">
            <w:pPr>
              <w:pStyle w:val="80"/>
            </w:pPr>
            <w:r>
              <w:t>Поиск и просмотр записи счета</w:t>
            </w:r>
          </w:p>
        </w:tc>
        <w:tc>
          <w:tcPr>
            <w:tcW w:w="1213" w:type="pct"/>
            <w:vMerge w:val="continue"/>
          </w:tcPr>
          <w:p w14:paraId="18ECFC80">
            <w:pPr>
              <w:pStyle w:val="80"/>
            </w:pPr>
          </w:p>
        </w:tc>
        <w:tc>
          <w:tcPr>
            <w:tcW w:w="583" w:type="pct"/>
            <w:tcBorders>
              <w:top w:val="single" w:color="auto" w:sz="4" w:space="0"/>
            </w:tcBorders>
          </w:tcPr>
          <w:p w14:paraId="569F81C1">
            <w:pPr>
              <w:pStyle w:val="83"/>
            </w:pPr>
            <w:r>
              <w:fldChar w:fldCharType="begin"/>
            </w:r>
            <w:r>
              <w:instrText xml:space="preserve"> REF _Ref142477237 \n \h  \* MERGEFORMAT </w:instrText>
            </w:r>
            <w:r>
              <w:fldChar w:fldCharType="separate"/>
            </w:r>
            <w:r>
              <w:t>4.2.2</w:t>
            </w:r>
            <w:r>
              <w:fldChar w:fldCharType="end"/>
            </w:r>
          </w:p>
        </w:tc>
      </w:tr>
      <w:tr w14:paraId="17246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3556AB4D">
            <w:pPr>
              <w:pStyle w:val="83"/>
            </w:pPr>
          </w:p>
        </w:tc>
        <w:tc>
          <w:tcPr>
            <w:tcW w:w="991" w:type="pct"/>
            <w:vMerge w:val="continue"/>
          </w:tcPr>
          <w:p w14:paraId="58F66703">
            <w:pPr>
              <w:pStyle w:val="80"/>
            </w:pPr>
          </w:p>
        </w:tc>
        <w:tc>
          <w:tcPr>
            <w:tcW w:w="1145" w:type="pct"/>
            <w:tcBorders>
              <w:top w:val="single" w:color="auto" w:sz="4" w:space="0"/>
            </w:tcBorders>
          </w:tcPr>
          <w:p w14:paraId="7FDAC736">
            <w:pPr>
              <w:pStyle w:val="80"/>
            </w:pPr>
            <w:r>
              <w:t>Просмотр и выгрузка паспорта счета</w:t>
            </w:r>
          </w:p>
        </w:tc>
        <w:tc>
          <w:tcPr>
            <w:tcW w:w="1213" w:type="pct"/>
            <w:vMerge w:val="continue"/>
          </w:tcPr>
          <w:p w14:paraId="07195CC1">
            <w:pPr>
              <w:pStyle w:val="80"/>
            </w:pPr>
          </w:p>
        </w:tc>
        <w:tc>
          <w:tcPr>
            <w:tcW w:w="583" w:type="pct"/>
            <w:tcBorders>
              <w:top w:val="single" w:color="auto" w:sz="4" w:space="0"/>
            </w:tcBorders>
          </w:tcPr>
          <w:p w14:paraId="73080E95">
            <w:pPr>
              <w:pStyle w:val="83"/>
            </w:pPr>
            <w:r>
              <w:fldChar w:fldCharType="begin"/>
            </w:r>
            <w:r>
              <w:instrText xml:space="preserve"> REF _Ref142477253 \n \h </w:instrText>
            </w:r>
            <w:r>
              <w:fldChar w:fldCharType="separate"/>
            </w:r>
            <w:r>
              <w:t>4.2.3</w:t>
            </w:r>
            <w:r>
              <w:fldChar w:fldCharType="end"/>
            </w:r>
          </w:p>
        </w:tc>
      </w:tr>
      <w:tr w14:paraId="2E9CB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2D33B8EE">
            <w:pPr>
              <w:pStyle w:val="83"/>
            </w:pPr>
          </w:p>
        </w:tc>
        <w:tc>
          <w:tcPr>
            <w:tcW w:w="991" w:type="pct"/>
            <w:vMerge w:val="continue"/>
          </w:tcPr>
          <w:p w14:paraId="344A552F">
            <w:pPr>
              <w:pStyle w:val="80"/>
            </w:pPr>
          </w:p>
        </w:tc>
        <w:tc>
          <w:tcPr>
            <w:tcW w:w="1145" w:type="pct"/>
            <w:tcBorders>
              <w:top w:val="single" w:color="auto" w:sz="4" w:space="0"/>
            </w:tcBorders>
          </w:tcPr>
          <w:p w14:paraId="22B2B3EF">
            <w:pPr>
              <w:pStyle w:val="80"/>
            </w:pPr>
            <w:r>
              <w:t>Просмотр и выгрузка акта расчетов</w:t>
            </w:r>
          </w:p>
        </w:tc>
        <w:tc>
          <w:tcPr>
            <w:tcW w:w="1213" w:type="pct"/>
            <w:tcBorders>
              <w:top w:val="single" w:color="auto" w:sz="4" w:space="0"/>
            </w:tcBorders>
          </w:tcPr>
          <w:p w14:paraId="39128380">
            <w:pPr>
              <w:pStyle w:val="102"/>
            </w:pPr>
            <w:r>
              <w:t>Плательщик ТФОМС,</w:t>
            </w:r>
          </w:p>
          <w:p w14:paraId="6F82AEE3">
            <w:pPr>
              <w:pStyle w:val="102"/>
            </w:pPr>
            <w:r>
              <w:t>Куратор по СМО,</w:t>
            </w:r>
          </w:p>
          <w:p w14:paraId="0A4FD1B4">
            <w:pPr>
              <w:pStyle w:val="80"/>
            </w:pPr>
            <w:r>
              <w:t>Куратор по МО</w:t>
            </w:r>
          </w:p>
          <w:p w14:paraId="3CAD92B8">
            <w:pPr>
              <w:pStyle w:val="80"/>
            </w:pPr>
            <w:r>
              <w:t>Администратор счетов субъекта</w:t>
            </w:r>
          </w:p>
        </w:tc>
        <w:tc>
          <w:tcPr>
            <w:tcW w:w="583" w:type="pct"/>
            <w:tcBorders>
              <w:top w:val="single" w:color="auto" w:sz="4" w:space="0"/>
            </w:tcBorders>
          </w:tcPr>
          <w:p w14:paraId="69E26DD7">
            <w:pPr>
              <w:pStyle w:val="83"/>
            </w:pPr>
            <w:r>
              <w:fldChar w:fldCharType="begin"/>
            </w:r>
            <w:r>
              <w:instrText xml:space="preserve"> REF _Ref206015667 \n \h </w:instrText>
            </w:r>
            <w:r>
              <w:fldChar w:fldCharType="separate"/>
            </w:r>
            <w:r>
              <w:t>4.2.4</w:t>
            </w:r>
            <w:r>
              <w:fldChar w:fldCharType="end"/>
            </w:r>
          </w:p>
        </w:tc>
      </w:tr>
      <w:tr w14:paraId="316A3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4D5F202D">
            <w:pPr>
              <w:pStyle w:val="83"/>
            </w:pPr>
          </w:p>
        </w:tc>
        <w:tc>
          <w:tcPr>
            <w:tcW w:w="991" w:type="pct"/>
            <w:vMerge w:val="continue"/>
          </w:tcPr>
          <w:p w14:paraId="55624D17">
            <w:pPr>
              <w:pStyle w:val="80"/>
            </w:pPr>
          </w:p>
        </w:tc>
        <w:tc>
          <w:tcPr>
            <w:tcW w:w="1145" w:type="pct"/>
            <w:tcBorders>
              <w:top w:val="single" w:color="auto" w:sz="4" w:space="0"/>
            </w:tcBorders>
          </w:tcPr>
          <w:p w14:paraId="37345707">
            <w:pPr>
              <w:pStyle w:val="80"/>
            </w:pPr>
            <w:r>
              <w:t>Просмотр реестра медицинских услуг, оказанных МО в отчетном периоде</w:t>
            </w:r>
          </w:p>
        </w:tc>
        <w:tc>
          <w:tcPr>
            <w:tcW w:w="1213" w:type="pct"/>
            <w:tcBorders>
              <w:top w:val="single" w:color="auto" w:sz="4" w:space="0"/>
            </w:tcBorders>
          </w:tcPr>
          <w:p w14:paraId="160D766B">
            <w:pPr>
              <w:pStyle w:val="102"/>
            </w:pPr>
            <w:r>
              <w:t>Плательщик ТФОМС,</w:t>
            </w:r>
          </w:p>
          <w:p w14:paraId="03197A65">
            <w:pPr>
              <w:pStyle w:val="102"/>
            </w:pPr>
            <w:r>
              <w:t>Куратор по СМО,</w:t>
            </w:r>
          </w:p>
          <w:p w14:paraId="6DFB820E">
            <w:pPr>
              <w:pStyle w:val="80"/>
            </w:pPr>
            <w:r>
              <w:t>Куратор по МО, Администратор счетов субъекта</w:t>
            </w:r>
          </w:p>
        </w:tc>
        <w:tc>
          <w:tcPr>
            <w:tcW w:w="583" w:type="pct"/>
            <w:tcBorders>
              <w:top w:val="single" w:color="auto" w:sz="4" w:space="0"/>
            </w:tcBorders>
          </w:tcPr>
          <w:p w14:paraId="64B93D1C">
            <w:pPr>
              <w:pStyle w:val="83"/>
            </w:pPr>
            <w:r>
              <w:fldChar w:fldCharType="begin"/>
            </w:r>
            <w:r>
              <w:instrText xml:space="preserve"> REF _Ref206015677 \n \h </w:instrText>
            </w:r>
            <w:r>
              <w:fldChar w:fldCharType="separate"/>
            </w:r>
            <w:r>
              <w:t>4.2.5</w:t>
            </w:r>
            <w:r>
              <w:fldChar w:fldCharType="end"/>
            </w:r>
          </w:p>
        </w:tc>
      </w:tr>
      <w:tr w14:paraId="1184E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6B5DAD35">
            <w:pPr>
              <w:pStyle w:val="83"/>
            </w:pPr>
          </w:p>
        </w:tc>
        <w:tc>
          <w:tcPr>
            <w:tcW w:w="991" w:type="pct"/>
            <w:vMerge w:val="restart"/>
            <w:tcBorders>
              <w:top w:val="single" w:color="auto" w:sz="4" w:space="0"/>
            </w:tcBorders>
          </w:tcPr>
          <w:p w14:paraId="03CAB568">
            <w:pPr>
              <w:pStyle w:val="80"/>
            </w:pPr>
            <w:r>
              <w:t>Проведение МЭК</w:t>
            </w:r>
          </w:p>
        </w:tc>
        <w:tc>
          <w:tcPr>
            <w:tcW w:w="1145" w:type="pct"/>
            <w:tcBorders>
              <w:top w:val="single" w:color="auto" w:sz="4" w:space="0"/>
            </w:tcBorders>
          </w:tcPr>
          <w:p w14:paraId="129E00AB">
            <w:pPr>
              <w:pStyle w:val="80"/>
            </w:pPr>
            <w:r>
              <w:t>Проведение МЭК</w:t>
            </w:r>
          </w:p>
        </w:tc>
        <w:tc>
          <w:tcPr>
            <w:tcW w:w="1213" w:type="pct"/>
            <w:tcBorders>
              <w:top w:val="single" w:color="auto" w:sz="4" w:space="0"/>
            </w:tcBorders>
          </w:tcPr>
          <w:p w14:paraId="528C6834">
            <w:pPr>
              <w:pStyle w:val="80"/>
            </w:pPr>
            <w:r>
              <w:t>Администратор счетов субъекта</w:t>
            </w:r>
          </w:p>
        </w:tc>
        <w:tc>
          <w:tcPr>
            <w:tcW w:w="583" w:type="pct"/>
            <w:tcBorders>
              <w:top w:val="single" w:color="auto" w:sz="4" w:space="0"/>
            </w:tcBorders>
          </w:tcPr>
          <w:p w14:paraId="6F8662B0">
            <w:pPr>
              <w:pStyle w:val="83"/>
            </w:pPr>
            <w:r>
              <w:fldChar w:fldCharType="begin"/>
            </w:r>
            <w:r>
              <w:instrText xml:space="preserve"> REF _Ref162430234 \n \h  \* MERGEFORMAT </w:instrText>
            </w:r>
            <w:r>
              <w:fldChar w:fldCharType="separate"/>
            </w:r>
            <w:r>
              <w:t>4.2.6</w:t>
            </w:r>
            <w:r>
              <w:fldChar w:fldCharType="end"/>
            </w:r>
          </w:p>
        </w:tc>
      </w:tr>
      <w:tr w14:paraId="7C914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2CC32860">
            <w:pPr>
              <w:pStyle w:val="83"/>
            </w:pPr>
          </w:p>
        </w:tc>
        <w:tc>
          <w:tcPr>
            <w:tcW w:w="991" w:type="pct"/>
            <w:vMerge w:val="continue"/>
          </w:tcPr>
          <w:p w14:paraId="55F0C277">
            <w:pPr>
              <w:pStyle w:val="80"/>
            </w:pPr>
          </w:p>
        </w:tc>
        <w:tc>
          <w:tcPr>
            <w:tcW w:w="1145" w:type="pct"/>
            <w:tcBorders>
              <w:top w:val="single" w:color="auto" w:sz="4" w:space="0"/>
            </w:tcBorders>
          </w:tcPr>
          <w:p w14:paraId="10613609">
            <w:pPr>
              <w:pStyle w:val="80"/>
            </w:pPr>
            <w:r>
              <w:t>Просмотр результатов МЭК</w:t>
            </w:r>
          </w:p>
        </w:tc>
        <w:tc>
          <w:tcPr>
            <w:tcW w:w="1213" w:type="pct"/>
            <w:tcBorders>
              <w:top w:val="single" w:color="auto" w:sz="4" w:space="0"/>
            </w:tcBorders>
          </w:tcPr>
          <w:p w14:paraId="6F254469">
            <w:pPr>
              <w:pStyle w:val="80"/>
            </w:pPr>
            <w:r>
              <w:t>Плательщик ТФОМС,</w:t>
            </w:r>
          </w:p>
          <w:p w14:paraId="03BE6C14">
            <w:pPr>
              <w:pStyle w:val="80"/>
            </w:pPr>
            <w:r>
              <w:t>Куратор по СМО,</w:t>
            </w:r>
          </w:p>
          <w:p w14:paraId="3B44FF87">
            <w:pPr>
              <w:pStyle w:val="80"/>
            </w:pPr>
            <w:r>
              <w:t>Куратор по МО,</w:t>
            </w:r>
          </w:p>
          <w:p w14:paraId="7C62B2D6">
            <w:pPr>
              <w:pStyle w:val="80"/>
            </w:pPr>
            <w:r>
              <w:t>Администратор счетов субъекта</w:t>
            </w:r>
          </w:p>
        </w:tc>
        <w:tc>
          <w:tcPr>
            <w:tcW w:w="583" w:type="pct"/>
            <w:tcBorders>
              <w:top w:val="single" w:color="auto" w:sz="4" w:space="0"/>
            </w:tcBorders>
          </w:tcPr>
          <w:p w14:paraId="7173A517">
            <w:pPr>
              <w:pStyle w:val="83"/>
            </w:pPr>
            <w:r>
              <w:fldChar w:fldCharType="begin"/>
            </w:r>
            <w:r>
              <w:instrText xml:space="preserve"> REF _Ref195090938 \n \h </w:instrText>
            </w:r>
            <w:r>
              <w:fldChar w:fldCharType="separate"/>
            </w:r>
            <w:r>
              <w:t>4.2.7</w:t>
            </w:r>
            <w:r>
              <w:fldChar w:fldCharType="end"/>
            </w:r>
          </w:p>
        </w:tc>
      </w:tr>
      <w:tr w14:paraId="01D04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324F8D5A">
            <w:pPr>
              <w:pStyle w:val="83"/>
            </w:pPr>
          </w:p>
        </w:tc>
        <w:tc>
          <w:tcPr>
            <w:tcW w:w="991" w:type="pct"/>
            <w:vMerge w:val="restart"/>
            <w:tcBorders>
              <w:top w:val="single" w:color="auto" w:sz="4" w:space="0"/>
            </w:tcBorders>
          </w:tcPr>
          <w:p w14:paraId="30EE7815">
            <w:pPr>
              <w:pStyle w:val="80"/>
            </w:pPr>
            <w:r>
              <w:t>Формирование и отправка ответа плательщика</w:t>
            </w:r>
          </w:p>
        </w:tc>
        <w:tc>
          <w:tcPr>
            <w:tcW w:w="1145" w:type="pct"/>
            <w:tcBorders>
              <w:top w:val="single" w:color="auto" w:sz="4" w:space="0"/>
            </w:tcBorders>
          </w:tcPr>
          <w:p w14:paraId="478194EC">
            <w:pPr>
              <w:pStyle w:val="80"/>
            </w:pPr>
            <w:r>
              <w:t>Формирование и отправка предварительного ответа плательщика</w:t>
            </w:r>
          </w:p>
        </w:tc>
        <w:tc>
          <w:tcPr>
            <w:tcW w:w="1213" w:type="pct"/>
            <w:tcBorders>
              <w:top w:val="single" w:color="auto" w:sz="4" w:space="0"/>
            </w:tcBorders>
          </w:tcPr>
          <w:p w14:paraId="513AECA9">
            <w:pPr>
              <w:pStyle w:val="80"/>
            </w:pPr>
            <w:r>
              <w:t>Плательщик ТФОМС</w:t>
            </w:r>
          </w:p>
        </w:tc>
        <w:tc>
          <w:tcPr>
            <w:tcW w:w="583" w:type="pct"/>
            <w:tcBorders>
              <w:top w:val="single" w:color="auto" w:sz="4" w:space="0"/>
            </w:tcBorders>
          </w:tcPr>
          <w:p w14:paraId="5C9601CF">
            <w:pPr>
              <w:pStyle w:val="83"/>
            </w:pPr>
            <w:r>
              <w:fldChar w:fldCharType="begin"/>
            </w:r>
            <w:r>
              <w:instrText xml:space="preserve"> REF _Ref142477306 \n \h  \* MERGEFORMAT </w:instrText>
            </w:r>
            <w:r>
              <w:fldChar w:fldCharType="separate"/>
            </w:r>
            <w:r>
              <w:t>4.2.8</w:t>
            </w:r>
            <w:r>
              <w:fldChar w:fldCharType="end"/>
            </w:r>
          </w:p>
        </w:tc>
      </w:tr>
      <w:tr w14:paraId="0FD27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2EB5A51F">
            <w:pPr>
              <w:pStyle w:val="83"/>
            </w:pPr>
          </w:p>
        </w:tc>
        <w:tc>
          <w:tcPr>
            <w:tcW w:w="991" w:type="pct"/>
            <w:vMerge w:val="continue"/>
          </w:tcPr>
          <w:p w14:paraId="098C6C49">
            <w:pPr>
              <w:pStyle w:val="80"/>
            </w:pPr>
          </w:p>
        </w:tc>
        <w:tc>
          <w:tcPr>
            <w:tcW w:w="1145" w:type="pct"/>
            <w:tcBorders>
              <w:top w:val="single" w:color="auto" w:sz="4" w:space="0"/>
            </w:tcBorders>
          </w:tcPr>
          <w:p w14:paraId="6B22E4B7">
            <w:pPr>
              <w:pStyle w:val="80"/>
            </w:pPr>
            <w:r>
              <w:t>Формирование финального ответа</w:t>
            </w:r>
          </w:p>
        </w:tc>
        <w:tc>
          <w:tcPr>
            <w:tcW w:w="1213" w:type="pct"/>
          </w:tcPr>
          <w:p w14:paraId="34AD2329">
            <w:pPr>
              <w:pStyle w:val="80"/>
            </w:pPr>
            <w:r>
              <w:t>Плательщик ТФОМС</w:t>
            </w:r>
          </w:p>
        </w:tc>
        <w:tc>
          <w:tcPr>
            <w:tcW w:w="583" w:type="pct"/>
            <w:tcBorders>
              <w:top w:val="single" w:color="auto" w:sz="4" w:space="0"/>
            </w:tcBorders>
          </w:tcPr>
          <w:p w14:paraId="712ABE46">
            <w:pPr>
              <w:pStyle w:val="83"/>
            </w:pPr>
            <w:r>
              <w:fldChar w:fldCharType="begin"/>
            </w:r>
            <w:r>
              <w:instrText xml:space="preserve"> REF _Ref143801432 \n \h  \* MERGEFORMAT </w:instrText>
            </w:r>
            <w:r>
              <w:fldChar w:fldCharType="separate"/>
            </w:r>
            <w:r>
              <w:t>4.2.9</w:t>
            </w:r>
            <w:r>
              <w:fldChar w:fldCharType="end"/>
            </w:r>
          </w:p>
        </w:tc>
      </w:tr>
      <w:tr w14:paraId="25C78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17283106">
            <w:pPr>
              <w:pStyle w:val="83"/>
            </w:pPr>
          </w:p>
        </w:tc>
        <w:tc>
          <w:tcPr>
            <w:tcW w:w="991" w:type="pct"/>
            <w:vMerge w:val="continue"/>
          </w:tcPr>
          <w:p w14:paraId="7BED5F62">
            <w:pPr>
              <w:pStyle w:val="80"/>
              <w:rPr>
                <w:szCs w:val="22"/>
              </w:rPr>
            </w:pPr>
          </w:p>
        </w:tc>
        <w:tc>
          <w:tcPr>
            <w:tcW w:w="1145" w:type="pct"/>
          </w:tcPr>
          <w:p w14:paraId="5C71393F">
            <w:pPr>
              <w:pStyle w:val="80"/>
              <w:rPr>
                <w:szCs w:val="22"/>
              </w:rPr>
            </w:pPr>
            <w:r>
              <w:t>Подписание финального ответа</w:t>
            </w:r>
          </w:p>
        </w:tc>
        <w:tc>
          <w:tcPr>
            <w:tcW w:w="1213" w:type="pct"/>
          </w:tcPr>
          <w:p w14:paraId="7EAE0F75">
            <w:pPr>
              <w:pStyle w:val="80"/>
            </w:pPr>
            <w:r>
              <w:t>Плательщик ТФОМС</w:t>
            </w:r>
          </w:p>
        </w:tc>
        <w:tc>
          <w:tcPr>
            <w:tcW w:w="583" w:type="pct"/>
          </w:tcPr>
          <w:p w14:paraId="7693F915">
            <w:pPr>
              <w:pStyle w:val="83"/>
            </w:pPr>
            <w:r>
              <w:fldChar w:fldCharType="begin"/>
            </w:r>
            <w:r>
              <w:instrText xml:space="preserve"> REF _Ref167121381 \n \h  \* MERGEFORMAT </w:instrText>
            </w:r>
            <w:r>
              <w:fldChar w:fldCharType="separate"/>
            </w:r>
            <w:r>
              <w:t>4.2.10</w:t>
            </w:r>
            <w:r>
              <w:fldChar w:fldCharType="end"/>
            </w:r>
          </w:p>
        </w:tc>
      </w:tr>
      <w:tr w14:paraId="221AE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724454E3">
            <w:pPr>
              <w:pStyle w:val="83"/>
            </w:pPr>
          </w:p>
        </w:tc>
        <w:tc>
          <w:tcPr>
            <w:tcW w:w="991" w:type="pct"/>
            <w:vMerge w:val="continue"/>
          </w:tcPr>
          <w:p w14:paraId="427976E9">
            <w:pPr>
              <w:pStyle w:val="80"/>
              <w:rPr>
                <w:szCs w:val="22"/>
              </w:rPr>
            </w:pPr>
          </w:p>
        </w:tc>
        <w:tc>
          <w:tcPr>
            <w:tcW w:w="1145" w:type="pct"/>
          </w:tcPr>
          <w:p w14:paraId="48D39898">
            <w:pPr>
              <w:pStyle w:val="80"/>
              <w:rPr>
                <w:szCs w:val="22"/>
              </w:rPr>
            </w:pPr>
            <w:r>
              <w:t>Отправка финального ответа</w:t>
            </w:r>
          </w:p>
        </w:tc>
        <w:tc>
          <w:tcPr>
            <w:tcW w:w="1213" w:type="pct"/>
          </w:tcPr>
          <w:p w14:paraId="7891D1C9">
            <w:pPr>
              <w:pStyle w:val="80"/>
            </w:pPr>
            <w:r>
              <w:t>Плательщик ТФОМС</w:t>
            </w:r>
          </w:p>
        </w:tc>
        <w:tc>
          <w:tcPr>
            <w:tcW w:w="583" w:type="pct"/>
          </w:tcPr>
          <w:p w14:paraId="0D2A12AB">
            <w:pPr>
              <w:pStyle w:val="83"/>
            </w:pPr>
            <w:r>
              <w:fldChar w:fldCharType="begin"/>
            </w:r>
            <w:r>
              <w:instrText xml:space="preserve"> REF _Ref167121387 \n \h  \* MERGEFORMAT </w:instrText>
            </w:r>
            <w:r>
              <w:fldChar w:fldCharType="separate"/>
            </w:r>
            <w:r>
              <w:t>4.2.11</w:t>
            </w:r>
            <w:r>
              <w:fldChar w:fldCharType="end"/>
            </w:r>
          </w:p>
        </w:tc>
      </w:tr>
      <w:tr w14:paraId="0E6BD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0A69813D">
            <w:pPr>
              <w:pStyle w:val="83"/>
            </w:pPr>
          </w:p>
        </w:tc>
        <w:tc>
          <w:tcPr>
            <w:tcW w:w="991" w:type="pct"/>
          </w:tcPr>
          <w:p w14:paraId="0C8FBF47">
            <w:pPr>
              <w:pStyle w:val="80"/>
              <w:rPr>
                <w:szCs w:val="22"/>
              </w:rPr>
            </w:pPr>
            <w:r>
              <w:t>Возврат счета в МО</w:t>
            </w:r>
          </w:p>
        </w:tc>
        <w:tc>
          <w:tcPr>
            <w:tcW w:w="1145" w:type="pct"/>
          </w:tcPr>
          <w:p w14:paraId="01A9D087">
            <w:pPr>
              <w:pStyle w:val="80"/>
            </w:pPr>
            <w:r>
              <w:t>Возврат счета в МО</w:t>
            </w:r>
          </w:p>
        </w:tc>
        <w:tc>
          <w:tcPr>
            <w:tcW w:w="1213" w:type="pct"/>
          </w:tcPr>
          <w:p w14:paraId="6AB17454">
            <w:pPr>
              <w:pStyle w:val="80"/>
            </w:pPr>
            <w:r>
              <w:t>Плательщик ТФОМС</w:t>
            </w:r>
          </w:p>
        </w:tc>
        <w:tc>
          <w:tcPr>
            <w:tcW w:w="583" w:type="pct"/>
          </w:tcPr>
          <w:p w14:paraId="34C89794">
            <w:pPr>
              <w:pStyle w:val="83"/>
            </w:pPr>
            <w:r>
              <w:fldChar w:fldCharType="begin"/>
            </w:r>
            <w:r>
              <w:instrText xml:space="preserve"> REF _Ref223615508 \n \h </w:instrText>
            </w:r>
            <w:r>
              <w:fldChar w:fldCharType="separate"/>
            </w:r>
            <w:r>
              <w:t>4.2.12</w:t>
            </w:r>
            <w:r>
              <w:fldChar w:fldCharType="end"/>
            </w:r>
          </w:p>
        </w:tc>
      </w:tr>
      <w:tr w14:paraId="57834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restart"/>
          </w:tcPr>
          <w:p w14:paraId="7E0FAD18">
            <w:pPr>
              <w:pStyle w:val="83"/>
            </w:pPr>
            <w:r>
              <w:t>Информационный обмен</w:t>
            </w:r>
          </w:p>
          <w:p w14:paraId="3A705C0B">
            <w:pPr>
              <w:pStyle w:val="83"/>
            </w:pPr>
            <w:r>
              <w:t>(</w:t>
            </w:r>
            <w:r>
              <w:fldChar w:fldCharType="begin"/>
            </w:r>
            <w:r>
              <w:instrText xml:space="preserve"> REF _Ref162368613 \n \h  \* MERGEFORMAT </w:instrText>
            </w:r>
            <w:r>
              <w:fldChar w:fldCharType="separate"/>
            </w:r>
            <w:r>
              <w:t>4.2.12</w:t>
            </w:r>
            <w:r>
              <w:fldChar w:fldCharType="end"/>
            </w:r>
            <w:r>
              <w:t>)</w:t>
            </w:r>
          </w:p>
        </w:tc>
        <w:tc>
          <w:tcPr>
            <w:tcW w:w="991" w:type="pct"/>
            <w:vMerge w:val="restart"/>
          </w:tcPr>
          <w:p w14:paraId="0387E240">
            <w:pPr>
              <w:pStyle w:val="80"/>
            </w:pPr>
            <w:r>
              <w:rPr>
                <w:szCs w:val="22"/>
              </w:rPr>
              <w:t>Просмотр данных информационного обмена</w:t>
            </w:r>
          </w:p>
        </w:tc>
        <w:tc>
          <w:tcPr>
            <w:tcW w:w="1145" w:type="pct"/>
          </w:tcPr>
          <w:p w14:paraId="0EFF52F9">
            <w:pPr>
              <w:pStyle w:val="80"/>
            </w:pPr>
            <w:r>
              <w:rPr>
                <w:szCs w:val="22"/>
              </w:rPr>
              <w:t>Поиск и просмотр сведений об отчетах информационного обмена</w:t>
            </w:r>
          </w:p>
        </w:tc>
        <w:tc>
          <w:tcPr>
            <w:tcW w:w="1213" w:type="pct"/>
            <w:vMerge w:val="restart"/>
          </w:tcPr>
          <w:p w14:paraId="4140E03D">
            <w:pPr>
              <w:pStyle w:val="80"/>
            </w:pPr>
            <w:r>
              <w:t>Плательщик ТФОМС,</w:t>
            </w:r>
          </w:p>
          <w:p w14:paraId="7447F79D">
            <w:pPr>
              <w:pStyle w:val="80"/>
            </w:pPr>
            <w:r>
              <w:t>Куратор по СМО,</w:t>
            </w:r>
          </w:p>
          <w:p w14:paraId="0FDBA8A9">
            <w:pPr>
              <w:pStyle w:val="80"/>
            </w:pPr>
            <w:r>
              <w:t>Куратор по МО,</w:t>
            </w:r>
          </w:p>
          <w:p w14:paraId="741EC3E4">
            <w:pPr>
              <w:pStyle w:val="80"/>
            </w:pPr>
            <w:r>
              <w:t>Администратор счетов субъекта</w:t>
            </w:r>
          </w:p>
        </w:tc>
        <w:tc>
          <w:tcPr>
            <w:tcW w:w="583" w:type="pct"/>
          </w:tcPr>
          <w:p w14:paraId="5B4DECD3">
            <w:pPr>
              <w:pStyle w:val="83"/>
            </w:pPr>
            <w:r>
              <w:fldChar w:fldCharType="begin"/>
            </w:r>
            <w:r>
              <w:instrText xml:space="preserve"> REF _Ref162368655 \n \h  \* MERGEFORMAT </w:instrText>
            </w:r>
            <w:r>
              <w:fldChar w:fldCharType="separate"/>
            </w:r>
            <w:r>
              <w:t>4.3.1</w:t>
            </w:r>
            <w:r>
              <w:fldChar w:fldCharType="end"/>
            </w:r>
          </w:p>
        </w:tc>
      </w:tr>
      <w:tr w14:paraId="3BA2A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61B4FE18">
            <w:pPr>
              <w:pStyle w:val="83"/>
            </w:pPr>
          </w:p>
        </w:tc>
        <w:tc>
          <w:tcPr>
            <w:tcW w:w="991" w:type="pct"/>
            <w:vMerge w:val="continue"/>
          </w:tcPr>
          <w:p w14:paraId="7784DC5F">
            <w:pPr>
              <w:pStyle w:val="80"/>
            </w:pPr>
          </w:p>
        </w:tc>
        <w:tc>
          <w:tcPr>
            <w:tcW w:w="1145" w:type="pct"/>
          </w:tcPr>
          <w:p w14:paraId="3F0719CE">
            <w:pPr>
              <w:pStyle w:val="80"/>
            </w:pPr>
            <w:r>
              <w:rPr>
                <w:szCs w:val="22"/>
              </w:rPr>
              <w:t>Выгрузка отчетов информационного обмена</w:t>
            </w:r>
          </w:p>
        </w:tc>
        <w:tc>
          <w:tcPr>
            <w:tcW w:w="1213" w:type="pct"/>
            <w:vMerge w:val="continue"/>
          </w:tcPr>
          <w:p w14:paraId="0E75BFE4">
            <w:pPr>
              <w:pStyle w:val="80"/>
            </w:pPr>
          </w:p>
        </w:tc>
        <w:tc>
          <w:tcPr>
            <w:tcW w:w="583" w:type="pct"/>
          </w:tcPr>
          <w:p w14:paraId="564F4F50">
            <w:pPr>
              <w:pStyle w:val="83"/>
            </w:pPr>
            <w:r>
              <w:fldChar w:fldCharType="begin"/>
            </w:r>
            <w:r>
              <w:instrText xml:space="preserve"> REF _Ref162368679 \n \h  \* MERGEFORMAT </w:instrText>
            </w:r>
            <w:r>
              <w:fldChar w:fldCharType="separate"/>
            </w:r>
            <w:r>
              <w:t>4.3.2</w:t>
            </w:r>
            <w:r>
              <w:fldChar w:fldCharType="end"/>
            </w:r>
          </w:p>
        </w:tc>
      </w:tr>
      <w:tr w14:paraId="753CE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restart"/>
          </w:tcPr>
          <w:p w14:paraId="69E6C2AB">
            <w:pPr>
              <w:pStyle w:val="83"/>
            </w:pPr>
            <w:r>
              <w:t>Реестр СЭФД</w:t>
            </w:r>
          </w:p>
          <w:p w14:paraId="54C7080A">
            <w:pPr>
              <w:pStyle w:val="83"/>
            </w:pPr>
            <w:r>
              <w:t>(</w:t>
            </w:r>
            <w:r>
              <w:fldChar w:fldCharType="begin"/>
            </w:r>
            <w:r>
              <w:instrText xml:space="preserve"> REF _Ref163232171 \n \h  \* MERGEFORMAT </w:instrText>
            </w:r>
            <w:r>
              <w:fldChar w:fldCharType="separate"/>
            </w:r>
            <w:r>
              <w:t>4.4</w:t>
            </w:r>
            <w:r>
              <w:fldChar w:fldCharType="end"/>
            </w:r>
            <w:r>
              <w:t>)</w:t>
            </w:r>
          </w:p>
        </w:tc>
        <w:tc>
          <w:tcPr>
            <w:tcW w:w="991" w:type="pct"/>
            <w:vMerge w:val="restart"/>
          </w:tcPr>
          <w:p w14:paraId="728C5360">
            <w:pPr>
              <w:pStyle w:val="80"/>
            </w:pPr>
            <w:r>
              <w:t>Просмотр учтенных сведений об оказанной медицинской помощи</w:t>
            </w:r>
          </w:p>
        </w:tc>
        <w:tc>
          <w:tcPr>
            <w:tcW w:w="1145" w:type="pct"/>
          </w:tcPr>
          <w:p w14:paraId="0C6791B9">
            <w:pPr>
              <w:pStyle w:val="80"/>
            </w:pPr>
            <w:r>
              <w:t>Поиск пациента и просмотр сведений о пациенте</w:t>
            </w:r>
          </w:p>
        </w:tc>
        <w:tc>
          <w:tcPr>
            <w:tcW w:w="1213" w:type="pct"/>
            <w:vMerge w:val="restart"/>
          </w:tcPr>
          <w:p w14:paraId="2BFA2601">
            <w:pPr>
              <w:pStyle w:val="80"/>
            </w:pPr>
            <w:r>
              <w:t>Плательщик ТФОМС,</w:t>
            </w:r>
          </w:p>
          <w:p w14:paraId="67D405A5">
            <w:pPr>
              <w:pStyle w:val="80"/>
            </w:pPr>
            <w:r>
              <w:t>Куратор по СМО,</w:t>
            </w:r>
          </w:p>
          <w:p w14:paraId="7C4E25D1">
            <w:pPr>
              <w:pStyle w:val="80"/>
            </w:pPr>
            <w:r>
              <w:t>Куратор по МО</w:t>
            </w:r>
          </w:p>
        </w:tc>
        <w:tc>
          <w:tcPr>
            <w:tcW w:w="583" w:type="pct"/>
          </w:tcPr>
          <w:p w14:paraId="5D0DCB4B">
            <w:pPr>
              <w:pStyle w:val="83"/>
            </w:pPr>
            <w:r>
              <w:fldChar w:fldCharType="begin"/>
            </w:r>
            <w:r>
              <w:instrText xml:space="preserve"> REF _Ref155775822 \n \h  \* MERGEFORMAT </w:instrText>
            </w:r>
            <w:r>
              <w:fldChar w:fldCharType="separate"/>
            </w:r>
            <w:r>
              <w:t>4.4.1</w:t>
            </w:r>
            <w:r>
              <w:fldChar w:fldCharType="end"/>
            </w:r>
          </w:p>
        </w:tc>
      </w:tr>
      <w:tr w14:paraId="17B6B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3D4C34DE">
            <w:pPr>
              <w:pStyle w:val="83"/>
            </w:pPr>
          </w:p>
        </w:tc>
        <w:tc>
          <w:tcPr>
            <w:tcW w:w="991" w:type="pct"/>
            <w:vMerge w:val="continue"/>
          </w:tcPr>
          <w:p w14:paraId="2F94F97F">
            <w:pPr>
              <w:pStyle w:val="80"/>
            </w:pPr>
          </w:p>
        </w:tc>
        <w:tc>
          <w:tcPr>
            <w:tcW w:w="1145" w:type="pct"/>
          </w:tcPr>
          <w:p w14:paraId="0134569B">
            <w:pPr>
              <w:pStyle w:val="80"/>
            </w:pPr>
            <w:r>
              <w:t>Поиск и просмотр СЭФД</w:t>
            </w:r>
          </w:p>
        </w:tc>
        <w:tc>
          <w:tcPr>
            <w:tcW w:w="1213" w:type="pct"/>
            <w:vMerge w:val="continue"/>
          </w:tcPr>
          <w:p w14:paraId="4FEB2723">
            <w:pPr>
              <w:pStyle w:val="80"/>
            </w:pPr>
          </w:p>
        </w:tc>
        <w:tc>
          <w:tcPr>
            <w:tcW w:w="583" w:type="pct"/>
          </w:tcPr>
          <w:p w14:paraId="0B4957B7">
            <w:pPr>
              <w:pStyle w:val="83"/>
            </w:pPr>
            <w:r>
              <w:fldChar w:fldCharType="begin"/>
            </w:r>
            <w:r>
              <w:instrText xml:space="preserve"> REF _Ref163042186 \n \h  \* MERGEFORMAT </w:instrText>
            </w:r>
            <w:r>
              <w:fldChar w:fldCharType="separate"/>
            </w:r>
            <w:r>
              <w:t>4.4.2</w:t>
            </w:r>
            <w:r>
              <w:fldChar w:fldCharType="end"/>
            </w:r>
          </w:p>
        </w:tc>
      </w:tr>
      <w:tr w14:paraId="5862E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57E17E2B">
            <w:pPr>
              <w:pStyle w:val="83"/>
            </w:pPr>
          </w:p>
        </w:tc>
        <w:tc>
          <w:tcPr>
            <w:tcW w:w="991" w:type="pct"/>
            <w:vMerge w:val="continue"/>
          </w:tcPr>
          <w:p w14:paraId="00B20D32">
            <w:pPr>
              <w:pStyle w:val="80"/>
            </w:pPr>
          </w:p>
        </w:tc>
        <w:tc>
          <w:tcPr>
            <w:tcW w:w="1145" w:type="pct"/>
          </w:tcPr>
          <w:p w14:paraId="49B0D4E9">
            <w:pPr>
              <w:pStyle w:val="80"/>
            </w:pPr>
            <w:r>
              <w:t>Просмотр результатов ФЛК и МЭК СЭФД</w:t>
            </w:r>
          </w:p>
        </w:tc>
        <w:tc>
          <w:tcPr>
            <w:tcW w:w="1213" w:type="pct"/>
            <w:vMerge w:val="continue"/>
          </w:tcPr>
          <w:p w14:paraId="1FE4CCC2">
            <w:pPr>
              <w:pStyle w:val="80"/>
            </w:pPr>
          </w:p>
        </w:tc>
        <w:tc>
          <w:tcPr>
            <w:tcW w:w="583" w:type="pct"/>
          </w:tcPr>
          <w:p w14:paraId="278FF2D0">
            <w:pPr>
              <w:pStyle w:val="83"/>
            </w:pPr>
            <w:r>
              <w:fldChar w:fldCharType="begin"/>
            </w:r>
            <w:r>
              <w:instrText xml:space="preserve"> REF _Ref154569636 \n \h  \* MERGEFORMAT </w:instrText>
            </w:r>
            <w:r>
              <w:fldChar w:fldCharType="separate"/>
            </w:r>
            <w:r>
              <w:t>4.4.3</w:t>
            </w:r>
            <w:r>
              <w:fldChar w:fldCharType="end"/>
            </w:r>
          </w:p>
        </w:tc>
      </w:tr>
      <w:tr w14:paraId="063EF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648D2AD9">
            <w:pPr>
              <w:pStyle w:val="83"/>
            </w:pPr>
          </w:p>
        </w:tc>
        <w:tc>
          <w:tcPr>
            <w:tcW w:w="991" w:type="pct"/>
            <w:vMerge w:val="continue"/>
          </w:tcPr>
          <w:p w14:paraId="16B1C2FE">
            <w:pPr>
              <w:pStyle w:val="80"/>
            </w:pPr>
          </w:p>
        </w:tc>
        <w:tc>
          <w:tcPr>
            <w:tcW w:w="1145" w:type="pct"/>
          </w:tcPr>
          <w:p w14:paraId="3C923CED">
            <w:pPr>
              <w:pStyle w:val="80"/>
            </w:pPr>
            <w:r>
              <w:t>Просмотр сведений, попавших в счет</w:t>
            </w:r>
          </w:p>
        </w:tc>
        <w:tc>
          <w:tcPr>
            <w:tcW w:w="1213" w:type="pct"/>
            <w:vMerge w:val="continue"/>
          </w:tcPr>
          <w:p w14:paraId="513821D8">
            <w:pPr>
              <w:pStyle w:val="80"/>
            </w:pPr>
          </w:p>
        </w:tc>
        <w:tc>
          <w:tcPr>
            <w:tcW w:w="583" w:type="pct"/>
          </w:tcPr>
          <w:p w14:paraId="71773BD3">
            <w:pPr>
              <w:pStyle w:val="83"/>
            </w:pPr>
            <w:r>
              <w:fldChar w:fldCharType="begin"/>
            </w:r>
            <w:r>
              <w:instrText xml:space="preserve"> REF _Ref154584018 \n \h  \* MERGEFORMAT </w:instrText>
            </w:r>
            <w:r>
              <w:fldChar w:fldCharType="separate"/>
            </w:r>
            <w:r>
              <w:t>4.4.4</w:t>
            </w:r>
            <w:r>
              <w:fldChar w:fldCharType="end"/>
            </w:r>
          </w:p>
        </w:tc>
      </w:tr>
      <w:tr w14:paraId="79AB5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39A7B777">
            <w:pPr>
              <w:pStyle w:val="83"/>
            </w:pPr>
          </w:p>
        </w:tc>
        <w:tc>
          <w:tcPr>
            <w:tcW w:w="991" w:type="pct"/>
            <w:vMerge w:val="continue"/>
          </w:tcPr>
          <w:p w14:paraId="72361FA7">
            <w:pPr>
              <w:pStyle w:val="80"/>
            </w:pPr>
          </w:p>
        </w:tc>
        <w:tc>
          <w:tcPr>
            <w:tcW w:w="1145" w:type="pct"/>
          </w:tcPr>
          <w:p w14:paraId="21693830">
            <w:pPr>
              <w:pStyle w:val="80"/>
            </w:pPr>
            <w:r>
              <w:t>Просмотр сведений в составе СЭФД по разделу XV Правил ОМС</w:t>
            </w:r>
          </w:p>
        </w:tc>
        <w:tc>
          <w:tcPr>
            <w:tcW w:w="1213" w:type="pct"/>
            <w:vMerge w:val="continue"/>
          </w:tcPr>
          <w:p w14:paraId="5C9D6047">
            <w:pPr>
              <w:pStyle w:val="80"/>
            </w:pPr>
          </w:p>
        </w:tc>
        <w:tc>
          <w:tcPr>
            <w:tcW w:w="583" w:type="pct"/>
          </w:tcPr>
          <w:p w14:paraId="1C8371A4">
            <w:pPr>
              <w:pStyle w:val="83"/>
            </w:pPr>
            <w:r>
              <w:fldChar w:fldCharType="begin"/>
            </w:r>
            <w:r>
              <w:instrText xml:space="preserve"> REF _Ref185352325 \n \h  \* MERGEFORMAT </w:instrText>
            </w:r>
            <w:r>
              <w:fldChar w:fldCharType="separate"/>
            </w:r>
            <w:r>
              <w:t>4.4.5</w:t>
            </w:r>
            <w:r>
              <w:fldChar w:fldCharType="end"/>
            </w:r>
          </w:p>
        </w:tc>
      </w:tr>
      <w:tr w14:paraId="54DAC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686AD93F">
            <w:pPr>
              <w:pStyle w:val="83"/>
            </w:pPr>
          </w:p>
        </w:tc>
        <w:tc>
          <w:tcPr>
            <w:tcW w:w="991" w:type="pct"/>
            <w:vMerge w:val="continue"/>
          </w:tcPr>
          <w:p w14:paraId="661D2232">
            <w:pPr>
              <w:pStyle w:val="80"/>
            </w:pPr>
          </w:p>
        </w:tc>
        <w:tc>
          <w:tcPr>
            <w:tcW w:w="1145" w:type="pct"/>
          </w:tcPr>
          <w:p w14:paraId="06B5CFFA">
            <w:pPr>
              <w:pStyle w:val="80"/>
            </w:pPr>
            <w:r>
              <w:t>Просмотр сведений о расчете стоимости СЭФД</w:t>
            </w:r>
          </w:p>
        </w:tc>
        <w:tc>
          <w:tcPr>
            <w:tcW w:w="1213" w:type="pct"/>
          </w:tcPr>
          <w:p w14:paraId="57171C39">
            <w:pPr>
              <w:pStyle w:val="80"/>
            </w:pPr>
            <w:r>
              <w:t>Плательщик ТФОМС,</w:t>
            </w:r>
          </w:p>
          <w:p w14:paraId="2CA2A3BB">
            <w:pPr>
              <w:pStyle w:val="80"/>
            </w:pPr>
            <w:r>
              <w:t>Куратор по СМО,</w:t>
            </w:r>
          </w:p>
          <w:p w14:paraId="766FFB6C">
            <w:pPr>
              <w:pStyle w:val="80"/>
            </w:pPr>
            <w:r>
              <w:t>Куратор по МО,</w:t>
            </w:r>
          </w:p>
          <w:p w14:paraId="07F86E4F">
            <w:pPr>
              <w:pStyle w:val="80"/>
            </w:pPr>
            <w:r>
              <w:t>Администратор счетов субъекта</w:t>
            </w:r>
          </w:p>
        </w:tc>
        <w:tc>
          <w:tcPr>
            <w:tcW w:w="583" w:type="pct"/>
          </w:tcPr>
          <w:p w14:paraId="60AC80EC">
            <w:pPr>
              <w:pStyle w:val="83"/>
            </w:pPr>
            <w:r>
              <w:fldChar w:fldCharType="begin"/>
            </w:r>
            <w:r>
              <w:instrText xml:space="preserve"> REF _Ref225766745 \n \h </w:instrText>
            </w:r>
            <w:r>
              <w:fldChar w:fldCharType="separate"/>
            </w:r>
            <w:r>
              <w:t>4.4.6</w:t>
            </w:r>
            <w:r>
              <w:fldChar w:fldCharType="end"/>
            </w:r>
          </w:p>
        </w:tc>
      </w:tr>
      <w:tr w14:paraId="47DF0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tcPr>
          <w:p w14:paraId="3E681BE0">
            <w:pPr>
              <w:pStyle w:val="83"/>
            </w:pPr>
            <w:r>
              <w:t>Реестр направлений</w:t>
            </w:r>
          </w:p>
          <w:p w14:paraId="3B0245E7">
            <w:pPr>
              <w:pStyle w:val="83"/>
            </w:pPr>
            <w:r>
              <w:t>(</w:t>
            </w:r>
            <w:r>
              <w:fldChar w:fldCharType="begin"/>
            </w:r>
            <w:r>
              <w:instrText xml:space="preserve"> REF _Ref155777657 \n \h  \* MERGEFORMAT </w:instrText>
            </w:r>
            <w:r>
              <w:fldChar w:fldCharType="separate"/>
            </w:r>
            <w:r>
              <w:t>4.5</w:t>
            </w:r>
            <w:r>
              <w:fldChar w:fldCharType="end"/>
            </w:r>
            <w:r>
              <w:t>)</w:t>
            </w:r>
          </w:p>
        </w:tc>
        <w:tc>
          <w:tcPr>
            <w:tcW w:w="991" w:type="pct"/>
          </w:tcPr>
          <w:p w14:paraId="61408D7A">
            <w:pPr>
              <w:pStyle w:val="80"/>
            </w:pPr>
            <w:r>
              <w:t>Просмотр сведений о входящих/ исходящих направлениях</w:t>
            </w:r>
          </w:p>
        </w:tc>
        <w:tc>
          <w:tcPr>
            <w:tcW w:w="1145" w:type="pct"/>
          </w:tcPr>
          <w:p w14:paraId="04806401">
            <w:pPr>
              <w:pStyle w:val="80"/>
            </w:pPr>
            <w:r>
              <w:t>Поиск и просмотр сведений о направлениях в разрезе пациентов, застрахованных в регионе ТФОМС</w:t>
            </w:r>
          </w:p>
        </w:tc>
        <w:tc>
          <w:tcPr>
            <w:tcW w:w="1213" w:type="pct"/>
          </w:tcPr>
          <w:p w14:paraId="0914D1B1">
            <w:pPr>
              <w:pStyle w:val="80"/>
            </w:pPr>
            <w:r>
              <w:t>Плательщик ТФОМС,</w:t>
            </w:r>
          </w:p>
          <w:p w14:paraId="391836E1">
            <w:pPr>
              <w:pStyle w:val="80"/>
            </w:pPr>
            <w:r>
              <w:t>Куратор по СМО,</w:t>
            </w:r>
          </w:p>
          <w:p w14:paraId="4C89364E">
            <w:pPr>
              <w:pStyle w:val="80"/>
            </w:pPr>
            <w:r>
              <w:t>Куратор по МО</w:t>
            </w:r>
          </w:p>
        </w:tc>
        <w:tc>
          <w:tcPr>
            <w:tcW w:w="583" w:type="pct"/>
          </w:tcPr>
          <w:p w14:paraId="46F5342A">
            <w:pPr>
              <w:pStyle w:val="83"/>
            </w:pPr>
            <w:r>
              <w:fldChar w:fldCharType="begin"/>
            </w:r>
            <w:r>
              <w:instrText xml:space="preserve"> REF _Ref143800924 \n \h  \* MERGEFORMAT </w:instrText>
            </w:r>
            <w:r>
              <w:fldChar w:fldCharType="separate"/>
            </w:r>
            <w:r>
              <w:t>4.5</w:t>
            </w:r>
            <w:r>
              <w:fldChar w:fldCharType="end"/>
            </w:r>
          </w:p>
        </w:tc>
      </w:tr>
      <w:tr w14:paraId="0CD3A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restart"/>
          </w:tcPr>
          <w:p w14:paraId="518F7FB6">
            <w:pPr>
              <w:pStyle w:val="83"/>
            </w:pPr>
            <w:r>
              <w:t>Авансы и снятия</w:t>
            </w:r>
          </w:p>
          <w:p w14:paraId="09234CED">
            <w:pPr>
              <w:pStyle w:val="83"/>
            </w:pPr>
            <w:r>
              <w:t>(</w:t>
            </w:r>
            <w:r>
              <w:fldChar w:fldCharType="begin"/>
            </w:r>
            <w:r>
              <w:instrText xml:space="preserve"> REF _Ref142476911 \n \h  \* MERGEFORMAT </w:instrText>
            </w:r>
            <w:r>
              <w:fldChar w:fldCharType="separate"/>
            </w:r>
            <w:r>
              <w:t>4.6</w:t>
            </w:r>
            <w:r>
              <w:fldChar w:fldCharType="end"/>
            </w:r>
            <w:r>
              <w:t>)</w:t>
            </w:r>
          </w:p>
        </w:tc>
        <w:tc>
          <w:tcPr>
            <w:tcW w:w="991" w:type="pct"/>
            <w:vMerge w:val="restart"/>
          </w:tcPr>
          <w:p w14:paraId="2A4AD17A">
            <w:pPr>
              <w:pStyle w:val="80"/>
            </w:pPr>
            <w:r>
              <w:t>Формирование сведений по авансам и снятиям</w:t>
            </w:r>
          </w:p>
        </w:tc>
        <w:tc>
          <w:tcPr>
            <w:tcW w:w="1145" w:type="pct"/>
          </w:tcPr>
          <w:p w14:paraId="135303B3">
            <w:pPr>
              <w:pStyle w:val="80"/>
            </w:pPr>
            <w:r>
              <w:t>Учет сведений об авансах и снятиях</w:t>
            </w:r>
          </w:p>
        </w:tc>
        <w:tc>
          <w:tcPr>
            <w:tcW w:w="1213" w:type="pct"/>
          </w:tcPr>
          <w:p w14:paraId="72C19D5A">
            <w:pPr>
              <w:pStyle w:val="80"/>
            </w:pPr>
            <w:r>
              <w:t>Плательщик ТФОМС</w:t>
            </w:r>
          </w:p>
        </w:tc>
        <w:tc>
          <w:tcPr>
            <w:tcW w:w="583" w:type="pct"/>
          </w:tcPr>
          <w:p w14:paraId="08BE6FCC">
            <w:pPr>
              <w:pStyle w:val="83"/>
            </w:pPr>
            <w:r>
              <w:fldChar w:fldCharType="begin"/>
            </w:r>
            <w:r>
              <w:instrText xml:space="preserve"> REF _Ref166497775 \n \h  \* MERGEFORMAT </w:instrText>
            </w:r>
            <w:r>
              <w:fldChar w:fldCharType="separate"/>
            </w:r>
            <w:r>
              <w:t>4.6.1</w:t>
            </w:r>
            <w:r>
              <w:fldChar w:fldCharType="end"/>
            </w:r>
          </w:p>
        </w:tc>
      </w:tr>
      <w:tr w14:paraId="26D2D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2DBC76B7">
            <w:pPr>
              <w:pStyle w:val="83"/>
            </w:pPr>
          </w:p>
        </w:tc>
        <w:tc>
          <w:tcPr>
            <w:tcW w:w="991" w:type="pct"/>
            <w:vMerge w:val="continue"/>
          </w:tcPr>
          <w:p w14:paraId="32231D47">
            <w:pPr>
              <w:pStyle w:val="80"/>
            </w:pPr>
          </w:p>
        </w:tc>
        <w:tc>
          <w:tcPr>
            <w:tcW w:w="1145" w:type="pct"/>
          </w:tcPr>
          <w:p w14:paraId="0826FB9F">
            <w:pPr>
              <w:pStyle w:val="80"/>
              <w:rPr>
                <w:highlight w:val="yellow"/>
              </w:rPr>
            </w:pPr>
            <w:r>
              <w:t>Просмотр показателей по авансированию и снятиям</w:t>
            </w:r>
          </w:p>
        </w:tc>
        <w:tc>
          <w:tcPr>
            <w:tcW w:w="1213" w:type="pct"/>
          </w:tcPr>
          <w:p w14:paraId="37615A7F">
            <w:pPr>
              <w:pStyle w:val="80"/>
            </w:pPr>
            <w:r>
              <w:t>Плательщик ТФОМС,</w:t>
            </w:r>
          </w:p>
          <w:p w14:paraId="5A8FB988">
            <w:pPr>
              <w:pStyle w:val="80"/>
            </w:pPr>
            <w:r>
              <w:t>Куратор по СМО</w:t>
            </w:r>
          </w:p>
        </w:tc>
        <w:tc>
          <w:tcPr>
            <w:tcW w:w="583" w:type="pct"/>
          </w:tcPr>
          <w:p w14:paraId="56CD8E24">
            <w:pPr>
              <w:pStyle w:val="83"/>
            </w:pPr>
            <w:r>
              <w:fldChar w:fldCharType="begin"/>
            </w:r>
            <w:r>
              <w:instrText xml:space="preserve"> REF _Ref143802272 \n \h  \* MERGEFORMAT </w:instrText>
            </w:r>
            <w:r>
              <w:fldChar w:fldCharType="separate"/>
            </w:r>
            <w:r>
              <w:t>4.6.2</w:t>
            </w:r>
            <w:r>
              <w:fldChar w:fldCharType="end"/>
            </w:r>
          </w:p>
        </w:tc>
      </w:tr>
      <w:tr w14:paraId="50CD5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02C03BB8">
            <w:pPr>
              <w:pStyle w:val="83"/>
            </w:pPr>
          </w:p>
        </w:tc>
        <w:tc>
          <w:tcPr>
            <w:tcW w:w="991" w:type="pct"/>
            <w:vMerge w:val="continue"/>
          </w:tcPr>
          <w:p w14:paraId="23BFA5BD">
            <w:pPr>
              <w:pStyle w:val="80"/>
            </w:pPr>
          </w:p>
        </w:tc>
        <w:tc>
          <w:tcPr>
            <w:tcW w:w="1145" w:type="pct"/>
          </w:tcPr>
          <w:p w14:paraId="0A45F75E">
            <w:pPr>
              <w:pStyle w:val="80"/>
            </w:pPr>
            <w:r>
              <w:t>Загрузка сведений об авансировании</w:t>
            </w:r>
          </w:p>
        </w:tc>
        <w:tc>
          <w:tcPr>
            <w:tcW w:w="1213" w:type="pct"/>
            <w:vMerge w:val="restart"/>
          </w:tcPr>
          <w:p w14:paraId="392F8201">
            <w:pPr>
              <w:pStyle w:val="80"/>
            </w:pPr>
            <w:r>
              <w:t>Плательщик ТФОМС</w:t>
            </w:r>
          </w:p>
        </w:tc>
        <w:tc>
          <w:tcPr>
            <w:tcW w:w="583" w:type="pct"/>
          </w:tcPr>
          <w:p w14:paraId="6E9B2452">
            <w:pPr>
              <w:pStyle w:val="83"/>
            </w:pPr>
            <w:r>
              <w:fldChar w:fldCharType="begin"/>
            </w:r>
            <w:r>
              <w:instrText xml:space="preserve"> REF _Ref163042529 \n \h  \* MERGEFORMAT </w:instrText>
            </w:r>
            <w:r>
              <w:fldChar w:fldCharType="separate"/>
            </w:r>
            <w:r>
              <w:t>4.6.3</w:t>
            </w:r>
            <w:r>
              <w:fldChar w:fldCharType="end"/>
            </w:r>
          </w:p>
        </w:tc>
      </w:tr>
      <w:tr w14:paraId="3B2BA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7028DBC7">
            <w:pPr>
              <w:pStyle w:val="83"/>
            </w:pPr>
          </w:p>
        </w:tc>
        <w:tc>
          <w:tcPr>
            <w:tcW w:w="991" w:type="pct"/>
            <w:vMerge w:val="continue"/>
          </w:tcPr>
          <w:p w14:paraId="6A844326">
            <w:pPr>
              <w:pStyle w:val="80"/>
            </w:pPr>
          </w:p>
        </w:tc>
        <w:tc>
          <w:tcPr>
            <w:tcW w:w="1145" w:type="pct"/>
          </w:tcPr>
          <w:p w14:paraId="6F10EB55">
            <w:pPr>
              <w:pStyle w:val="80"/>
            </w:pPr>
            <w:r>
              <w:t>Загрузка сведений о снятиях</w:t>
            </w:r>
          </w:p>
        </w:tc>
        <w:tc>
          <w:tcPr>
            <w:tcW w:w="1213" w:type="pct"/>
            <w:vMerge w:val="continue"/>
          </w:tcPr>
          <w:p w14:paraId="7721169C">
            <w:pPr>
              <w:pStyle w:val="80"/>
            </w:pPr>
          </w:p>
        </w:tc>
        <w:tc>
          <w:tcPr>
            <w:tcW w:w="583" w:type="pct"/>
          </w:tcPr>
          <w:p w14:paraId="4B6D4CE4">
            <w:pPr>
              <w:pStyle w:val="83"/>
            </w:pPr>
            <w:r>
              <w:fldChar w:fldCharType="begin"/>
            </w:r>
            <w:r>
              <w:instrText xml:space="preserve"> REF _Ref163042533 \n \h  \* MERGEFORMAT </w:instrText>
            </w:r>
            <w:r>
              <w:fldChar w:fldCharType="separate"/>
            </w:r>
            <w:r>
              <w:t>4.6.4</w:t>
            </w:r>
            <w:r>
              <w:fldChar w:fldCharType="end"/>
            </w:r>
          </w:p>
        </w:tc>
      </w:tr>
      <w:tr w14:paraId="6902F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restart"/>
          </w:tcPr>
          <w:p w14:paraId="7C7084F8">
            <w:pPr>
              <w:pStyle w:val="83"/>
            </w:pPr>
            <w:r>
              <w:t>Мониторинг</w:t>
            </w:r>
          </w:p>
          <w:p w14:paraId="0B61749E">
            <w:pPr>
              <w:pStyle w:val="83"/>
            </w:pPr>
            <w:r>
              <w:t>(</w:t>
            </w:r>
            <w:r>
              <w:fldChar w:fldCharType="begin"/>
            </w:r>
            <w:r>
              <w:instrText xml:space="preserve"> REF _Ref142476967 \n \h  \* MERGEFORMAT </w:instrText>
            </w:r>
            <w:r>
              <w:fldChar w:fldCharType="separate"/>
            </w:r>
            <w:r>
              <w:t>4.7</w:t>
            </w:r>
            <w:r>
              <w:fldChar w:fldCharType="end"/>
            </w:r>
            <w:r>
              <w:t>)</w:t>
            </w:r>
          </w:p>
        </w:tc>
        <w:tc>
          <w:tcPr>
            <w:tcW w:w="991" w:type="pct"/>
          </w:tcPr>
          <w:p w14:paraId="34C38434">
            <w:pPr>
              <w:pStyle w:val="80"/>
            </w:pPr>
            <w:r>
              <w:t>Просмотр плановых объемов территориальной программы ОМС</w:t>
            </w:r>
          </w:p>
        </w:tc>
        <w:tc>
          <w:tcPr>
            <w:tcW w:w="1145" w:type="pct"/>
          </w:tcPr>
          <w:p w14:paraId="4BB383B6">
            <w:pPr>
              <w:pStyle w:val="80"/>
            </w:pPr>
            <w:r>
              <w:t>Просмотр утвержденных годовых плановых объемов территориальной программы ОМС</w:t>
            </w:r>
          </w:p>
        </w:tc>
        <w:tc>
          <w:tcPr>
            <w:tcW w:w="1213" w:type="pct"/>
          </w:tcPr>
          <w:p w14:paraId="48507F6B">
            <w:pPr>
              <w:pStyle w:val="80"/>
            </w:pPr>
            <w:r>
              <w:t>Плательщик ТФОМС,</w:t>
            </w:r>
          </w:p>
          <w:p w14:paraId="5334F7FF">
            <w:pPr>
              <w:pStyle w:val="80"/>
            </w:pPr>
            <w:r>
              <w:t>Куратор по СМО,</w:t>
            </w:r>
          </w:p>
          <w:p w14:paraId="40D0C3E2">
            <w:pPr>
              <w:pStyle w:val="80"/>
            </w:pPr>
            <w:r>
              <w:t>Куратор по МО</w:t>
            </w:r>
          </w:p>
        </w:tc>
        <w:tc>
          <w:tcPr>
            <w:tcW w:w="583" w:type="pct"/>
          </w:tcPr>
          <w:p w14:paraId="23F78055">
            <w:pPr>
              <w:pStyle w:val="83"/>
            </w:pPr>
            <w:r>
              <w:fldChar w:fldCharType="begin"/>
            </w:r>
            <w:r>
              <w:instrText xml:space="preserve"> REF _Ref166488983 \n \h  \* MERGEFORMAT </w:instrText>
            </w:r>
            <w:r>
              <w:fldChar w:fldCharType="separate"/>
            </w:r>
            <w:r>
              <w:t>4.7.1</w:t>
            </w:r>
            <w:r>
              <w:fldChar w:fldCharType="end"/>
            </w:r>
          </w:p>
        </w:tc>
      </w:tr>
      <w:tr w14:paraId="35B8A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4ACA4F34">
            <w:pPr>
              <w:pStyle w:val="83"/>
            </w:pPr>
          </w:p>
        </w:tc>
        <w:tc>
          <w:tcPr>
            <w:tcW w:w="991" w:type="pct"/>
            <w:vMerge w:val="restart"/>
          </w:tcPr>
          <w:p w14:paraId="4E4D4B37">
            <w:pPr>
              <w:pStyle w:val="80"/>
            </w:pPr>
            <w:r>
              <w:t>Загрузка и публикация плановых объемов территориальной программы ОМС</w:t>
            </w:r>
          </w:p>
        </w:tc>
        <w:tc>
          <w:tcPr>
            <w:tcW w:w="1145" w:type="pct"/>
          </w:tcPr>
          <w:p w14:paraId="064B6835">
            <w:pPr>
              <w:pStyle w:val="80"/>
            </w:pPr>
            <w:r>
              <w:t>Выгрузка шаблона</w:t>
            </w:r>
          </w:p>
        </w:tc>
        <w:tc>
          <w:tcPr>
            <w:tcW w:w="1213" w:type="pct"/>
            <w:vMerge w:val="restart"/>
          </w:tcPr>
          <w:p w14:paraId="15E969F6">
            <w:pPr>
              <w:pStyle w:val="80"/>
            </w:pPr>
            <w:r>
              <w:t>Плательщик ТФОМС</w:t>
            </w:r>
          </w:p>
        </w:tc>
        <w:tc>
          <w:tcPr>
            <w:tcW w:w="583" w:type="pct"/>
          </w:tcPr>
          <w:p w14:paraId="3692B864">
            <w:pPr>
              <w:pStyle w:val="83"/>
            </w:pPr>
            <w:r>
              <w:fldChar w:fldCharType="begin"/>
            </w:r>
            <w:r>
              <w:instrText xml:space="preserve"> REF _Ref201942156 \n \h </w:instrText>
            </w:r>
            <w:r>
              <w:fldChar w:fldCharType="separate"/>
            </w:r>
            <w:r>
              <w:t>4.7.2.1</w:t>
            </w:r>
            <w:r>
              <w:fldChar w:fldCharType="end"/>
            </w:r>
          </w:p>
        </w:tc>
      </w:tr>
      <w:tr w14:paraId="30E94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3829FFC7">
            <w:pPr>
              <w:pStyle w:val="83"/>
            </w:pPr>
          </w:p>
        </w:tc>
        <w:tc>
          <w:tcPr>
            <w:tcW w:w="991" w:type="pct"/>
            <w:vMerge w:val="continue"/>
          </w:tcPr>
          <w:p w14:paraId="3E4645D7">
            <w:pPr>
              <w:pStyle w:val="80"/>
            </w:pPr>
          </w:p>
        </w:tc>
        <w:tc>
          <w:tcPr>
            <w:tcW w:w="1145" w:type="pct"/>
          </w:tcPr>
          <w:p w14:paraId="28F22D10">
            <w:pPr>
              <w:pStyle w:val="80"/>
            </w:pPr>
            <w:r>
              <w:t>Заполнение шаблона</w:t>
            </w:r>
          </w:p>
        </w:tc>
        <w:tc>
          <w:tcPr>
            <w:tcW w:w="1213" w:type="pct"/>
            <w:vMerge w:val="continue"/>
          </w:tcPr>
          <w:p w14:paraId="6DB77E20">
            <w:pPr>
              <w:pStyle w:val="80"/>
            </w:pPr>
          </w:p>
        </w:tc>
        <w:tc>
          <w:tcPr>
            <w:tcW w:w="583" w:type="pct"/>
          </w:tcPr>
          <w:p w14:paraId="336E7E1F">
            <w:pPr>
              <w:pStyle w:val="83"/>
            </w:pPr>
            <w:r>
              <w:fldChar w:fldCharType="begin"/>
            </w:r>
            <w:r>
              <w:instrText xml:space="preserve"> REF _Ref201942169 \n \h </w:instrText>
            </w:r>
            <w:r>
              <w:fldChar w:fldCharType="separate"/>
            </w:r>
            <w:r>
              <w:t>4.7.2.2</w:t>
            </w:r>
            <w:r>
              <w:fldChar w:fldCharType="end"/>
            </w:r>
          </w:p>
        </w:tc>
      </w:tr>
      <w:tr w14:paraId="7D63B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079315FE">
            <w:pPr>
              <w:pStyle w:val="83"/>
            </w:pPr>
          </w:p>
        </w:tc>
        <w:tc>
          <w:tcPr>
            <w:tcW w:w="991" w:type="pct"/>
            <w:vMerge w:val="continue"/>
          </w:tcPr>
          <w:p w14:paraId="30BF7097">
            <w:pPr>
              <w:pStyle w:val="80"/>
            </w:pPr>
          </w:p>
        </w:tc>
        <w:tc>
          <w:tcPr>
            <w:tcW w:w="1145" w:type="pct"/>
          </w:tcPr>
          <w:p w14:paraId="3B4F16FD">
            <w:pPr>
              <w:pStyle w:val="80"/>
            </w:pPr>
            <w:r>
              <w:t>Загрузка заполненного шаблона</w:t>
            </w:r>
          </w:p>
        </w:tc>
        <w:tc>
          <w:tcPr>
            <w:tcW w:w="1213" w:type="pct"/>
            <w:vMerge w:val="continue"/>
          </w:tcPr>
          <w:p w14:paraId="6431C259">
            <w:pPr>
              <w:pStyle w:val="80"/>
            </w:pPr>
          </w:p>
        </w:tc>
        <w:tc>
          <w:tcPr>
            <w:tcW w:w="583" w:type="pct"/>
          </w:tcPr>
          <w:p w14:paraId="63F9B363">
            <w:pPr>
              <w:pStyle w:val="83"/>
            </w:pPr>
            <w:r>
              <w:fldChar w:fldCharType="begin"/>
            </w:r>
            <w:r>
              <w:instrText xml:space="preserve"> REF _Ref201939795 \n \h </w:instrText>
            </w:r>
            <w:r>
              <w:fldChar w:fldCharType="separate"/>
            </w:r>
            <w:r>
              <w:t>4.7.2.3</w:t>
            </w:r>
            <w:r>
              <w:fldChar w:fldCharType="end"/>
            </w:r>
          </w:p>
        </w:tc>
      </w:tr>
      <w:tr w14:paraId="5E7DE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7A636F74">
            <w:pPr>
              <w:pStyle w:val="83"/>
            </w:pPr>
          </w:p>
        </w:tc>
        <w:tc>
          <w:tcPr>
            <w:tcW w:w="991" w:type="pct"/>
            <w:vMerge w:val="continue"/>
          </w:tcPr>
          <w:p w14:paraId="53B7B38B">
            <w:pPr>
              <w:pStyle w:val="80"/>
            </w:pPr>
          </w:p>
        </w:tc>
        <w:tc>
          <w:tcPr>
            <w:tcW w:w="1145" w:type="pct"/>
          </w:tcPr>
          <w:p w14:paraId="496FC5D2">
            <w:pPr>
              <w:pStyle w:val="80"/>
            </w:pPr>
            <w:r>
              <w:t>Просмотр истории загружаемых файлов</w:t>
            </w:r>
          </w:p>
        </w:tc>
        <w:tc>
          <w:tcPr>
            <w:tcW w:w="1213" w:type="pct"/>
            <w:vMerge w:val="continue"/>
          </w:tcPr>
          <w:p w14:paraId="6004D976">
            <w:pPr>
              <w:pStyle w:val="80"/>
            </w:pPr>
          </w:p>
        </w:tc>
        <w:tc>
          <w:tcPr>
            <w:tcW w:w="583" w:type="pct"/>
          </w:tcPr>
          <w:p w14:paraId="35176B58">
            <w:pPr>
              <w:pStyle w:val="83"/>
            </w:pPr>
            <w:r>
              <w:fldChar w:fldCharType="begin"/>
            </w:r>
            <w:r>
              <w:instrText xml:space="preserve"> REF _Ref201942190 \n \h </w:instrText>
            </w:r>
            <w:r>
              <w:fldChar w:fldCharType="separate"/>
            </w:r>
            <w:r>
              <w:t>4.7.2.4</w:t>
            </w:r>
            <w:r>
              <w:fldChar w:fldCharType="end"/>
            </w:r>
          </w:p>
        </w:tc>
      </w:tr>
      <w:tr w14:paraId="1F6AA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1E760917">
            <w:pPr>
              <w:pStyle w:val="83"/>
            </w:pPr>
          </w:p>
        </w:tc>
        <w:tc>
          <w:tcPr>
            <w:tcW w:w="991" w:type="pct"/>
            <w:vMerge w:val="continue"/>
          </w:tcPr>
          <w:p w14:paraId="31477D0A">
            <w:pPr>
              <w:pStyle w:val="80"/>
            </w:pPr>
          </w:p>
        </w:tc>
        <w:tc>
          <w:tcPr>
            <w:tcW w:w="1145" w:type="pct"/>
          </w:tcPr>
          <w:p w14:paraId="1E94BFA0">
            <w:pPr>
              <w:pStyle w:val="80"/>
            </w:pPr>
            <w:r>
              <w:t>Исправление ошибок загрузки файла</w:t>
            </w:r>
          </w:p>
        </w:tc>
        <w:tc>
          <w:tcPr>
            <w:tcW w:w="1213" w:type="pct"/>
            <w:vMerge w:val="continue"/>
          </w:tcPr>
          <w:p w14:paraId="4B88328B">
            <w:pPr>
              <w:pStyle w:val="80"/>
            </w:pPr>
          </w:p>
        </w:tc>
        <w:tc>
          <w:tcPr>
            <w:tcW w:w="583" w:type="pct"/>
          </w:tcPr>
          <w:p w14:paraId="4307DB08">
            <w:pPr>
              <w:pStyle w:val="83"/>
            </w:pPr>
            <w:r>
              <w:fldChar w:fldCharType="begin"/>
            </w:r>
            <w:r>
              <w:instrText xml:space="preserve"> REF _Ref201942195 \n \h </w:instrText>
            </w:r>
            <w:r>
              <w:fldChar w:fldCharType="separate"/>
            </w:r>
            <w:r>
              <w:t>4.7.2.5</w:t>
            </w:r>
            <w:r>
              <w:fldChar w:fldCharType="end"/>
            </w:r>
          </w:p>
        </w:tc>
      </w:tr>
      <w:tr w14:paraId="448BC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59C5CA76">
            <w:pPr>
              <w:pStyle w:val="83"/>
            </w:pPr>
          </w:p>
        </w:tc>
        <w:tc>
          <w:tcPr>
            <w:tcW w:w="991" w:type="pct"/>
            <w:vMerge w:val="continue"/>
          </w:tcPr>
          <w:p w14:paraId="13F4EC95">
            <w:pPr>
              <w:pStyle w:val="80"/>
            </w:pPr>
          </w:p>
        </w:tc>
        <w:tc>
          <w:tcPr>
            <w:tcW w:w="1145" w:type="pct"/>
          </w:tcPr>
          <w:p w14:paraId="3624D032">
            <w:pPr>
              <w:pStyle w:val="80"/>
            </w:pPr>
            <w:r>
              <w:t>Просмотр загруженных плановых объемов</w:t>
            </w:r>
          </w:p>
        </w:tc>
        <w:tc>
          <w:tcPr>
            <w:tcW w:w="1213" w:type="pct"/>
            <w:vMerge w:val="continue"/>
          </w:tcPr>
          <w:p w14:paraId="3D53CD41">
            <w:pPr>
              <w:pStyle w:val="80"/>
            </w:pPr>
          </w:p>
        </w:tc>
        <w:tc>
          <w:tcPr>
            <w:tcW w:w="583" w:type="pct"/>
          </w:tcPr>
          <w:p w14:paraId="52F60E34">
            <w:pPr>
              <w:pStyle w:val="83"/>
            </w:pPr>
            <w:r>
              <w:fldChar w:fldCharType="begin"/>
            </w:r>
            <w:r>
              <w:instrText xml:space="preserve"> REF _Ref201942199 \n \h </w:instrText>
            </w:r>
            <w:r>
              <w:fldChar w:fldCharType="separate"/>
            </w:r>
            <w:r>
              <w:t>4.7.2.6</w:t>
            </w:r>
            <w:r>
              <w:fldChar w:fldCharType="end"/>
            </w:r>
          </w:p>
        </w:tc>
      </w:tr>
      <w:tr w14:paraId="59698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5FFABA4C">
            <w:pPr>
              <w:pStyle w:val="83"/>
            </w:pPr>
          </w:p>
        </w:tc>
        <w:tc>
          <w:tcPr>
            <w:tcW w:w="991" w:type="pct"/>
            <w:vMerge w:val="continue"/>
          </w:tcPr>
          <w:p w14:paraId="30C9E302">
            <w:pPr>
              <w:pStyle w:val="80"/>
            </w:pPr>
          </w:p>
        </w:tc>
        <w:tc>
          <w:tcPr>
            <w:tcW w:w="1145" w:type="pct"/>
          </w:tcPr>
          <w:p w14:paraId="4C167EB2">
            <w:pPr>
              <w:pStyle w:val="80"/>
            </w:pPr>
            <w:r>
              <w:t>Публикация плановых объемов</w:t>
            </w:r>
          </w:p>
        </w:tc>
        <w:tc>
          <w:tcPr>
            <w:tcW w:w="1213" w:type="pct"/>
            <w:vMerge w:val="continue"/>
          </w:tcPr>
          <w:p w14:paraId="16074AA2">
            <w:pPr>
              <w:pStyle w:val="80"/>
            </w:pPr>
          </w:p>
        </w:tc>
        <w:tc>
          <w:tcPr>
            <w:tcW w:w="583" w:type="pct"/>
          </w:tcPr>
          <w:p w14:paraId="30C6E5C5">
            <w:pPr>
              <w:pStyle w:val="83"/>
            </w:pPr>
            <w:r>
              <w:fldChar w:fldCharType="begin"/>
            </w:r>
            <w:r>
              <w:instrText xml:space="preserve"> REF _Ref201942210 \n \h </w:instrText>
            </w:r>
            <w:r>
              <w:fldChar w:fldCharType="separate"/>
            </w:r>
            <w:r>
              <w:t>4.7.2.7</w:t>
            </w:r>
            <w:r>
              <w:fldChar w:fldCharType="end"/>
            </w:r>
          </w:p>
        </w:tc>
      </w:tr>
      <w:tr w14:paraId="12B5F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49AEB51F">
            <w:pPr>
              <w:pStyle w:val="83"/>
            </w:pPr>
          </w:p>
        </w:tc>
        <w:tc>
          <w:tcPr>
            <w:tcW w:w="991" w:type="pct"/>
            <w:vMerge w:val="continue"/>
          </w:tcPr>
          <w:p w14:paraId="4E673B74">
            <w:pPr>
              <w:pStyle w:val="80"/>
            </w:pPr>
          </w:p>
        </w:tc>
        <w:tc>
          <w:tcPr>
            <w:tcW w:w="1145" w:type="pct"/>
          </w:tcPr>
          <w:p w14:paraId="6960BF22">
            <w:pPr>
              <w:pStyle w:val="80"/>
            </w:pPr>
            <w:r>
              <w:t>Редактирование годовых плановых показателей МП</w:t>
            </w:r>
          </w:p>
        </w:tc>
        <w:tc>
          <w:tcPr>
            <w:tcW w:w="1213" w:type="pct"/>
            <w:vMerge w:val="continue"/>
          </w:tcPr>
          <w:p w14:paraId="3F916E11">
            <w:pPr>
              <w:pStyle w:val="80"/>
            </w:pPr>
          </w:p>
        </w:tc>
        <w:tc>
          <w:tcPr>
            <w:tcW w:w="583" w:type="pct"/>
          </w:tcPr>
          <w:p w14:paraId="49385F89">
            <w:pPr>
              <w:pStyle w:val="83"/>
            </w:pPr>
            <w:r>
              <w:fldChar w:fldCharType="begin"/>
            </w:r>
            <w:r>
              <w:instrText xml:space="preserve"> REF _Ref166667333 \n \h  \* MERGEFORMAT </w:instrText>
            </w:r>
            <w:r>
              <w:fldChar w:fldCharType="separate"/>
            </w:r>
            <w:r>
              <w:t>4.7.2.8</w:t>
            </w:r>
            <w:r>
              <w:fldChar w:fldCharType="end"/>
            </w:r>
          </w:p>
        </w:tc>
      </w:tr>
      <w:tr w14:paraId="0A628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68ED30E0">
            <w:pPr>
              <w:pStyle w:val="83"/>
            </w:pPr>
          </w:p>
        </w:tc>
        <w:tc>
          <w:tcPr>
            <w:tcW w:w="991" w:type="pct"/>
            <w:vMerge w:val="continue"/>
            <w:tcBorders>
              <w:bottom w:val="single" w:color="auto" w:sz="4" w:space="0"/>
            </w:tcBorders>
          </w:tcPr>
          <w:p w14:paraId="6E78E135">
            <w:pPr>
              <w:pStyle w:val="80"/>
            </w:pPr>
          </w:p>
        </w:tc>
        <w:tc>
          <w:tcPr>
            <w:tcW w:w="1145" w:type="pct"/>
            <w:tcBorders>
              <w:bottom w:val="single" w:color="auto" w:sz="4" w:space="0"/>
            </w:tcBorders>
          </w:tcPr>
          <w:p w14:paraId="2E64944F">
            <w:pPr>
              <w:pStyle w:val="80"/>
            </w:pPr>
            <w:r>
              <w:t>Управление редактированием квартального плана</w:t>
            </w:r>
          </w:p>
        </w:tc>
        <w:tc>
          <w:tcPr>
            <w:tcW w:w="1213" w:type="pct"/>
            <w:vMerge w:val="continue"/>
            <w:tcBorders>
              <w:bottom w:val="single" w:color="auto" w:sz="4" w:space="0"/>
            </w:tcBorders>
          </w:tcPr>
          <w:p w14:paraId="639A5D75">
            <w:pPr>
              <w:pStyle w:val="80"/>
            </w:pPr>
          </w:p>
        </w:tc>
        <w:tc>
          <w:tcPr>
            <w:tcW w:w="583" w:type="pct"/>
            <w:tcBorders>
              <w:bottom w:val="single" w:color="auto" w:sz="4" w:space="0"/>
            </w:tcBorders>
          </w:tcPr>
          <w:p w14:paraId="34004BA3">
            <w:pPr>
              <w:pStyle w:val="83"/>
            </w:pPr>
            <w:r>
              <w:fldChar w:fldCharType="begin"/>
            </w:r>
            <w:r>
              <w:instrText xml:space="preserve"> REF _Ref166667393 \n \h  \* MERGEFORMAT </w:instrText>
            </w:r>
            <w:r>
              <w:fldChar w:fldCharType="separate"/>
            </w:r>
            <w:r>
              <w:t>4.7.2.9</w:t>
            </w:r>
            <w:r>
              <w:fldChar w:fldCharType="end"/>
            </w:r>
          </w:p>
        </w:tc>
      </w:tr>
      <w:tr w14:paraId="29EA3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265D8A36">
            <w:pPr>
              <w:pStyle w:val="83"/>
            </w:pPr>
          </w:p>
        </w:tc>
        <w:tc>
          <w:tcPr>
            <w:tcW w:w="991" w:type="pct"/>
          </w:tcPr>
          <w:p w14:paraId="6D8BEE5D">
            <w:pPr>
              <w:pStyle w:val="80"/>
            </w:pPr>
            <w:r>
              <w:t>Просмотр поквартального распределения годовых плановых объемов базовой программы ОМС для МО</w:t>
            </w:r>
          </w:p>
        </w:tc>
        <w:tc>
          <w:tcPr>
            <w:tcW w:w="1145" w:type="pct"/>
          </w:tcPr>
          <w:p w14:paraId="2C446132">
            <w:pPr>
              <w:pStyle w:val="80"/>
            </w:pPr>
            <w:r>
              <w:t>Просмотр квартальных планов МО</w:t>
            </w:r>
          </w:p>
        </w:tc>
        <w:tc>
          <w:tcPr>
            <w:tcW w:w="1213" w:type="pct"/>
          </w:tcPr>
          <w:p w14:paraId="16C6A4F5">
            <w:pPr>
              <w:pStyle w:val="80"/>
            </w:pPr>
            <w:r>
              <w:t>Плательщик ТФОМС,</w:t>
            </w:r>
          </w:p>
          <w:p w14:paraId="5DB2FE2E">
            <w:pPr>
              <w:pStyle w:val="80"/>
            </w:pPr>
            <w:r>
              <w:t>Куратор по СМО,</w:t>
            </w:r>
          </w:p>
          <w:p w14:paraId="565174EF">
            <w:pPr>
              <w:pStyle w:val="80"/>
            </w:pPr>
            <w:r>
              <w:t>Куратор по МО</w:t>
            </w:r>
          </w:p>
        </w:tc>
        <w:tc>
          <w:tcPr>
            <w:tcW w:w="583" w:type="pct"/>
          </w:tcPr>
          <w:p w14:paraId="0DFFD064">
            <w:pPr>
              <w:pStyle w:val="83"/>
            </w:pPr>
            <w:r>
              <w:fldChar w:fldCharType="begin"/>
            </w:r>
            <w:r>
              <w:instrText xml:space="preserve"> REF _Ref166667362 \n \h  \* MERGEFORMAT </w:instrText>
            </w:r>
            <w:r>
              <w:fldChar w:fldCharType="separate"/>
            </w:r>
            <w:r>
              <w:t>4.7.3</w:t>
            </w:r>
            <w:r>
              <w:fldChar w:fldCharType="end"/>
            </w:r>
          </w:p>
        </w:tc>
      </w:tr>
      <w:tr w14:paraId="15103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31BDD2B1">
            <w:pPr>
              <w:pStyle w:val="83"/>
            </w:pPr>
          </w:p>
        </w:tc>
        <w:tc>
          <w:tcPr>
            <w:tcW w:w="991" w:type="pct"/>
            <w:vMerge w:val="restart"/>
          </w:tcPr>
          <w:p w14:paraId="5A488C9E">
            <w:pPr>
              <w:pStyle w:val="80"/>
              <w:pageBreakBefore/>
              <w:rPr>
                <w:highlight w:val="yellow"/>
              </w:rPr>
            </w:pPr>
            <w:r>
              <w:t>Контроль выполнения плановых объемов оказания МП и мониторинг превышения объемов финансового обеспечения</w:t>
            </w:r>
          </w:p>
        </w:tc>
        <w:tc>
          <w:tcPr>
            <w:tcW w:w="1145" w:type="pct"/>
          </w:tcPr>
          <w:p w14:paraId="2C476BB5">
            <w:pPr>
              <w:pStyle w:val="80"/>
              <w:pageBreakBefore/>
            </w:pPr>
            <w:r>
              <w:t>Контроль выполнения плановых объемов оказания МП и мониторинг превышения объемов финансового обеспечения</w:t>
            </w:r>
          </w:p>
        </w:tc>
        <w:tc>
          <w:tcPr>
            <w:tcW w:w="1213" w:type="pct"/>
            <w:vMerge w:val="restart"/>
          </w:tcPr>
          <w:p w14:paraId="3AAA70CD">
            <w:pPr>
              <w:pStyle w:val="80"/>
              <w:pageBreakBefore/>
            </w:pPr>
            <w:r>
              <w:t>Плательщик ТФОМС,</w:t>
            </w:r>
          </w:p>
          <w:p w14:paraId="37B64755">
            <w:pPr>
              <w:pStyle w:val="80"/>
              <w:pageBreakBefore/>
            </w:pPr>
            <w:r>
              <w:t>Куратор по СМО,</w:t>
            </w:r>
          </w:p>
          <w:p w14:paraId="4AFBBE38">
            <w:pPr>
              <w:pStyle w:val="80"/>
              <w:pageBreakBefore/>
            </w:pPr>
            <w:r>
              <w:t>Куратор по МО</w:t>
            </w:r>
          </w:p>
        </w:tc>
        <w:tc>
          <w:tcPr>
            <w:tcW w:w="583" w:type="pct"/>
          </w:tcPr>
          <w:p w14:paraId="36BD3E6A">
            <w:pPr>
              <w:pStyle w:val="83"/>
              <w:pageBreakBefore/>
            </w:pPr>
            <w:r>
              <w:fldChar w:fldCharType="begin"/>
            </w:r>
            <w:r>
              <w:instrText xml:space="preserve"> REF _Ref167122348 \n \h  \* MERGEFORMAT </w:instrText>
            </w:r>
            <w:r>
              <w:fldChar w:fldCharType="separate"/>
            </w:r>
            <w:r>
              <w:t>4.7.4</w:t>
            </w:r>
            <w:r>
              <w:fldChar w:fldCharType="end"/>
            </w:r>
          </w:p>
        </w:tc>
      </w:tr>
      <w:tr w14:paraId="4A4D2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2AA8EF32">
            <w:pPr>
              <w:pStyle w:val="83"/>
            </w:pPr>
          </w:p>
        </w:tc>
        <w:tc>
          <w:tcPr>
            <w:tcW w:w="991" w:type="pct"/>
            <w:vMerge w:val="continue"/>
          </w:tcPr>
          <w:p w14:paraId="2DED28E8">
            <w:pPr>
              <w:pStyle w:val="80"/>
              <w:rPr>
                <w:highlight w:val="yellow"/>
              </w:rPr>
            </w:pPr>
          </w:p>
        </w:tc>
        <w:tc>
          <w:tcPr>
            <w:tcW w:w="1145" w:type="pct"/>
          </w:tcPr>
          <w:p w14:paraId="7E471AA7">
            <w:pPr>
              <w:pStyle w:val="80"/>
            </w:pPr>
            <w:r>
              <w:t>Просмотр фактических показателей</w:t>
            </w:r>
          </w:p>
        </w:tc>
        <w:tc>
          <w:tcPr>
            <w:tcW w:w="1213" w:type="pct"/>
            <w:vMerge w:val="continue"/>
          </w:tcPr>
          <w:p w14:paraId="08D678B9">
            <w:pPr>
              <w:pStyle w:val="104"/>
            </w:pPr>
          </w:p>
        </w:tc>
        <w:tc>
          <w:tcPr>
            <w:tcW w:w="583" w:type="pct"/>
          </w:tcPr>
          <w:p w14:paraId="26E21505">
            <w:pPr>
              <w:pStyle w:val="83"/>
            </w:pPr>
            <w:r>
              <w:fldChar w:fldCharType="begin"/>
            </w:r>
            <w:r>
              <w:instrText xml:space="preserve"> REF _Ref166666835 \n \h  \* MERGEFORMAT </w:instrText>
            </w:r>
            <w:r>
              <w:fldChar w:fldCharType="separate"/>
            </w:r>
            <w:r>
              <w:t>4.7.5</w:t>
            </w:r>
            <w:r>
              <w:fldChar w:fldCharType="end"/>
            </w:r>
          </w:p>
        </w:tc>
      </w:tr>
      <w:tr w14:paraId="13C5D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0C469972">
            <w:pPr>
              <w:pStyle w:val="83"/>
            </w:pPr>
          </w:p>
        </w:tc>
        <w:tc>
          <w:tcPr>
            <w:tcW w:w="991" w:type="pct"/>
          </w:tcPr>
          <w:p w14:paraId="0B79573A">
            <w:pPr>
              <w:pStyle w:val="80"/>
            </w:pPr>
            <w:r>
              <w:t>Формирование аналитических отчетов по исполнению объемов МП</w:t>
            </w:r>
          </w:p>
        </w:tc>
        <w:tc>
          <w:tcPr>
            <w:tcW w:w="1145" w:type="pct"/>
          </w:tcPr>
          <w:p w14:paraId="4913F102">
            <w:pPr>
              <w:pStyle w:val="80"/>
            </w:pPr>
            <w:r>
              <w:t>Просмотр отчетов по исполнению объемов МП</w:t>
            </w:r>
          </w:p>
        </w:tc>
        <w:tc>
          <w:tcPr>
            <w:tcW w:w="1213" w:type="pct"/>
          </w:tcPr>
          <w:p w14:paraId="48B1294F">
            <w:pPr>
              <w:pStyle w:val="80"/>
            </w:pPr>
            <w:r>
              <w:t>Плательщик ТФОМС,</w:t>
            </w:r>
          </w:p>
          <w:p w14:paraId="4F8A93F7">
            <w:pPr>
              <w:pStyle w:val="80"/>
            </w:pPr>
            <w:r>
              <w:t>Куратор по СМО,</w:t>
            </w:r>
          </w:p>
          <w:p w14:paraId="1D11C89F">
            <w:pPr>
              <w:pStyle w:val="80"/>
            </w:pPr>
            <w:r>
              <w:t>Куратор по МО</w:t>
            </w:r>
          </w:p>
        </w:tc>
        <w:tc>
          <w:tcPr>
            <w:tcW w:w="583" w:type="pct"/>
          </w:tcPr>
          <w:p w14:paraId="4E4A4F02">
            <w:pPr>
              <w:pStyle w:val="83"/>
            </w:pPr>
            <w:r>
              <w:fldChar w:fldCharType="begin"/>
            </w:r>
            <w:r>
              <w:instrText xml:space="preserve"> REF _Ref176621104 \n \h  \* MERGEFORMAT </w:instrText>
            </w:r>
            <w:r>
              <w:fldChar w:fldCharType="separate"/>
            </w:r>
            <w:r>
              <w:t>4.7.6</w:t>
            </w:r>
            <w:r>
              <w:fldChar w:fldCharType="end"/>
            </w:r>
          </w:p>
        </w:tc>
      </w:tr>
      <w:tr w14:paraId="57577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restart"/>
          </w:tcPr>
          <w:p w14:paraId="103D89B1">
            <w:pPr>
              <w:pStyle w:val="83"/>
            </w:pPr>
            <w:r>
              <w:t>Экспертиза</w:t>
            </w:r>
          </w:p>
          <w:p w14:paraId="23245D46">
            <w:pPr>
              <w:pStyle w:val="83"/>
            </w:pPr>
            <w:r>
              <w:t>(</w:t>
            </w:r>
            <w:r>
              <w:fldChar w:fldCharType="begin"/>
            </w:r>
            <w:r>
              <w:instrText xml:space="preserve"> REF _Ref206015978 \n \h </w:instrText>
            </w:r>
            <w:r>
              <w:fldChar w:fldCharType="separate"/>
            </w:r>
            <w:r>
              <w:t>4.8</w:t>
            </w:r>
            <w:r>
              <w:fldChar w:fldCharType="end"/>
            </w:r>
            <w:r>
              <w:t>)</w:t>
            </w:r>
          </w:p>
        </w:tc>
        <w:tc>
          <w:tcPr>
            <w:tcW w:w="991" w:type="pct"/>
            <w:vMerge w:val="restart"/>
          </w:tcPr>
          <w:p w14:paraId="451AFE40">
            <w:pPr>
              <w:pStyle w:val="80"/>
            </w:pPr>
            <w:r>
              <w:t>Проведение МЭЭ и ЭКМП</w:t>
            </w:r>
          </w:p>
        </w:tc>
        <w:tc>
          <w:tcPr>
            <w:tcW w:w="1145" w:type="pct"/>
          </w:tcPr>
          <w:p w14:paraId="3798C374">
            <w:pPr>
              <w:pStyle w:val="80"/>
            </w:pPr>
            <w:r>
              <w:t>Поиск и просмотр экспертиз</w:t>
            </w:r>
          </w:p>
        </w:tc>
        <w:tc>
          <w:tcPr>
            <w:tcW w:w="1213" w:type="pct"/>
          </w:tcPr>
          <w:p w14:paraId="59BFD93F">
            <w:pPr>
              <w:pStyle w:val="80"/>
            </w:pPr>
            <w:r>
              <w:t>Плательщик ТФОМС,</w:t>
            </w:r>
          </w:p>
          <w:p w14:paraId="2FFE2B91">
            <w:pPr>
              <w:pStyle w:val="80"/>
            </w:pPr>
            <w:r>
              <w:t>Куратор по СМО,</w:t>
            </w:r>
          </w:p>
          <w:p w14:paraId="7A8F09AF">
            <w:pPr>
              <w:pStyle w:val="80"/>
            </w:pPr>
            <w:r>
              <w:t>Куратор по МО</w:t>
            </w:r>
          </w:p>
        </w:tc>
        <w:tc>
          <w:tcPr>
            <w:tcW w:w="583" w:type="pct"/>
          </w:tcPr>
          <w:p w14:paraId="5C7388E4">
            <w:pPr>
              <w:pStyle w:val="83"/>
            </w:pPr>
            <w:r>
              <w:fldChar w:fldCharType="begin"/>
            </w:r>
            <w:r>
              <w:instrText xml:space="preserve"> REF _Ref206142792 \n \h </w:instrText>
            </w:r>
            <w:r>
              <w:fldChar w:fldCharType="separate"/>
            </w:r>
            <w:r>
              <w:t>4.8.2</w:t>
            </w:r>
            <w:r>
              <w:fldChar w:fldCharType="end"/>
            </w:r>
          </w:p>
        </w:tc>
      </w:tr>
      <w:tr w14:paraId="4CF6F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048610BE">
            <w:pPr>
              <w:pStyle w:val="83"/>
            </w:pPr>
          </w:p>
        </w:tc>
        <w:tc>
          <w:tcPr>
            <w:tcW w:w="991" w:type="pct"/>
            <w:vMerge w:val="continue"/>
          </w:tcPr>
          <w:p w14:paraId="263CEE57">
            <w:pPr>
              <w:pStyle w:val="80"/>
            </w:pPr>
          </w:p>
        </w:tc>
        <w:tc>
          <w:tcPr>
            <w:tcW w:w="1145" w:type="pct"/>
          </w:tcPr>
          <w:p w14:paraId="0A90449E">
            <w:pPr>
              <w:pStyle w:val="80"/>
            </w:pPr>
            <w:r>
              <w:t>Просмотр уведомлений о проведении экспертизы</w:t>
            </w:r>
          </w:p>
        </w:tc>
        <w:tc>
          <w:tcPr>
            <w:tcW w:w="1213" w:type="pct"/>
          </w:tcPr>
          <w:p w14:paraId="35A7E417">
            <w:pPr>
              <w:pStyle w:val="80"/>
            </w:pPr>
            <w:r>
              <w:t>Плательщик ТФОМС,</w:t>
            </w:r>
          </w:p>
          <w:p w14:paraId="04E614E2">
            <w:pPr>
              <w:pStyle w:val="80"/>
            </w:pPr>
            <w:r>
              <w:t>Куратор по СМО,</w:t>
            </w:r>
          </w:p>
          <w:p w14:paraId="5BA5200A">
            <w:pPr>
              <w:pStyle w:val="80"/>
            </w:pPr>
            <w:r>
              <w:t>Куратор по МО</w:t>
            </w:r>
          </w:p>
        </w:tc>
        <w:tc>
          <w:tcPr>
            <w:tcW w:w="583" w:type="pct"/>
          </w:tcPr>
          <w:p w14:paraId="68CAF3C6">
            <w:pPr>
              <w:pStyle w:val="83"/>
            </w:pPr>
            <w:r>
              <w:fldChar w:fldCharType="begin"/>
            </w:r>
            <w:r>
              <w:instrText xml:space="preserve"> REF _Ref154570401 \n \h </w:instrText>
            </w:r>
            <w:r>
              <w:fldChar w:fldCharType="separate"/>
            </w:r>
            <w:r>
              <w:t>4.8.3</w:t>
            </w:r>
            <w:r>
              <w:fldChar w:fldCharType="end"/>
            </w:r>
          </w:p>
        </w:tc>
      </w:tr>
      <w:tr w14:paraId="59E22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6A6BA52C">
            <w:pPr>
              <w:pStyle w:val="83"/>
            </w:pPr>
          </w:p>
        </w:tc>
        <w:tc>
          <w:tcPr>
            <w:tcW w:w="991" w:type="pct"/>
            <w:vMerge w:val="continue"/>
          </w:tcPr>
          <w:p w14:paraId="3EAC88E3">
            <w:pPr>
              <w:pStyle w:val="80"/>
            </w:pPr>
          </w:p>
        </w:tc>
        <w:tc>
          <w:tcPr>
            <w:tcW w:w="1145" w:type="pct"/>
          </w:tcPr>
          <w:p w14:paraId="7C0C48A0">
            <w:pPr>
              <w:pStyle w:val="80"/>
            </w:pPr>
            <w:r>
              <w:t>Просмотр заключения по результатам экспертизы</w:t>
            </w:r>
          </w:p>
        </w:tc>
        <w:tc>
          <w:tcPr>
            <w:tcW w:w="1213" w:type="pct"/>
          </w:tcPr>
          <w:p w14:paraId="6D8E01A3">
            <w:pPr>
              <w:pStyle w:val="80"/>
            </w:pPr>
            <w:r>
              <w:t>Плательщик ТФОМС,</w:t>
            </w:r>
          </w:p>
          <w:p w14:paraId="7BE1C0F9">
            <w:pPr>
              <w:pStyle w:val="80"/>
            </w:pPr>
            <w:r>
              <w:t>Куратор по СМО,</w:t>
            </w:r>
          </w:p>
          <w:p w14:paraId="7E4B0BFF">
            <w:pPr>
              <w:pStyle w:val="80"/>
            </w:pPr>
            <w:r>
              <w:t>Куратор по МО</w:t>
            </w:r>
          </w:p>
        </w:tc>
        <w:tc>
          <w:tcPr>
            <w:tcW w:w="583" w:type="pct"/>
          </w:tcPr>
          <w:p w14:paraId="201828CE">
            <w:pPr>
              <w:pStyle w:val="83"/>
            </w:pPr>
            <w:r>
              <w:fldChar w:fldCharType="begin"/>
            </w:r>
            <w:r>
              <w:instrText xml:space="preserve"> REF _Ref154570245 \n \h </w:instrText>
            </w:r>
            <w:r>
              <w:fldChar w:fldCharType="separate"/>
            </w:r>
            <w:r>
              <w:t>4.8.4</w:t>
            </w:r>
            <w:r>
              <w:fldChar w:fldCharType="end"/>
            </w:r>
          </w:p>
        </w:tc>
      </w:tr>
      <w:tr w14:paraId="51270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restart"/>
          </w:tcPr>
          <w:p w14:paraId="62CD4709">
            <w:pPr>
              <w:pStyle w:val="83"/>
            </w:pPr>
            <w:r>
              <w:t>Повторный МЭК (</w:t>
            </w:r>
            <w:r>
              <w:fldChar w:fldCharType="begin"/>
            </w:r>
            <w:r>
              <w:instrText xml:space="preserve"> REF _Ref163054523 \n \h  \* MERGEFORMAT </w:instrText>
            </w:r>
            <w:r>
              <w:fldChar w:fldCharType="separate"/>
            </w:r>
            <w:r>
              <w:t>4.9</w:t>
            </w:r>
            <w:r>
              <w:fldChar w:fldCharType="end"/>
            </w:r>
            <w:r>
              <w:t>)</w:t>
            </w:r>
          </w:p>
        </w:tc>
        <w:tc>
          <w:tcPr>
            <w:tcW w:w="991" w:type="pct"/>
            <w:vMerge w:val="restart"/>
          </w:tcPr>
          <w:p w14:paraId="782AFC9B">
            <w:pPr>
              <w:pStyle w:val="80"/>
            </w:pPr>
            <w:r>
              <w:t>Проведение повторного МЭК на закрытом отчетном периоде</w:t>
            </w:r>
          </w:p>
        </w:tc>
        <w:tc>
          <w:tcPr>
            <w:tcW w:w="1145" w:type="pct"/>
          </w:tcPr>
          <w:p w14:paraId="2429CC6F">
            <w:pPr>
              <w:pStyle w:val="80"/>
            </w:pPr>
            <w:r>
              <w:t>Просмотр повторных МЭК</w:t>
            </w:r>
          </w:p>
        </w:tc>
        <w:tc>
          <w:tcPr>
            <w:tcW w:w="1213" w:type="pct"/>
          </w:tcPr>
          <w:p w14:paraId="18E4F5F2">
            <w:pPr>
              <w:pStyle w:val="80"/>
            </w:pPr>
            <w:r>
              <w:t>Плательщик ТФОМС,</w:t>
            </w:r>
          </w:p>
          <w:p w14:paraId="1F68CF2F">
            <w:pPr>
              <w:pStyle w:val="80"/>
            </w:pPr>
            <w:r>
              <w:t>Куратор по СМО,</w:t>
            </w:r>
          </w:p>
          <w:p w14:paraId="3029045C">
            <w:pPr>
              <w:pStyle w:val="80"/>
            </w:pPr>
            <w:r>
              <w:t>Куратор по МО,</w:t>
            </w:r>
          </w:p>
          <w:p w14:paraId="72947731">
            <w:pPr>
              <w:pStyle w:val="80"/>
            </w:pPr>
            <w:r>
              <w:t>Администратор счетов субъекта</w:t>
            </w:r>
          </w:p>
        </w:tc>
        <w:tc>
          <w:tcPr>
            <w:tcW w:w="583" w:type="pct"/>
          </w:tcPr>
          <w:p w14:paraId="44AD8DD5">
            <w:pPr>
              <w:pStyle w:val="83"/>
            </w:pPr>
            <w:r>
              <w:fldChar w:fldCharType="begin"/>
            </w:r>
            <w:r>
              <w:instrText xml:space="preserve"> REF _Ref164953468 \n \h  \* MERGEFORMAT </w:instrText>
            </w:r>
            <w:r>
              <w:fldChar w:fldCharType="separate"/>
            </w:r>
            <w:r>
              <w:t>4.9.1</w:t>
            </w:r>
            <w:r>
              <w:fldChar w:fldCharType="end"/>
            </w:r>
          </w:p>
        </w:tc>
      </w:tr>
      <w:tr w14:paraId="70FA7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616EEAF1">
            <w:pPr>
              <w:pStyle w:val="83"/>
            </w:pPr>
          </w:p>
        </w:tc>
        <w:tc>
          <w:tcPr>
            <w:tcW w:w="991" w:type="pct"/>
            <w:vMerge w:val="continue"/>
          </w:tcPr>
          <w:p w14:paraId="77381868">
            <w:pPr>
              <w:pStyle w:val="80"/>
            </w:pPr>
          </w:p>
        </w:tc>
        <w:tc>
          <w:tcPr>
            <w:tcW w:w="1145" w:type="pct"/>
          </w:tcPr>
          <w:p w14:paraId="3E0D4D76">
            <w:pPr>
              <w:pStyle w:val="80"/>
              <w:rPr>
                <w:highlight w:val="yellow"/>
              </w:rPr>
            </w:pPr>
            <w:r>
              <w:t>Выполнение повторного МЭК</w:t>
            </w:r>
          </w:p>
        </w:tc>
        <w:tc>
          <w:tcPr>
            <w:tcW w:w="1213" w:type="pct"/>
            <w:vMerge w:val="restart"/>
          </w:tcPr>
          <w:p w14:paraId="1F616F20">
            <w:pPr>
              <w:pStyle w:val="80"/>
            </w:pPr>
            <w:r>
              <w:t>Администратор счетов субъекта</w:t>
            </w:r>
          </w:p>
        </w:tc>
        <w:tc>
          <w:tcPr>
            <w:tcW w:w="583" w:type="pct"/>
          </w:tcPr>
          <w:p w14:paraId="77F0EE7F">
            <w:pPr>
              <w:pStyle w:val="83"/>
            </w:pPr>
            <w:r>
              <w:fldChar w:fldCharType="begin"/>
            </w:r>
            <w:r>
              <w:instrText xml:space="preserve"> REF _Ref164953499 \n \h  \* MERGEFORMAT </w:instrText>
            </w:r>
            <w:r>
              <w:fldChar w:fldCharType="separate"/>
            </w:r>
            <w:r>
              <w:t>4.9.2</w:t>
            </w:r>
            <w:r>
              <w:fldChar w:fldCharType="end"/>
            </w:r>
          </w:p>
        </w:tc>
      </w:tr>
      <w:tr w14:paraId="3767F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26F455D7">
            <w:pPr>
              <w:pStyle w:val="83"/>
            </w:pPr>
          </w:p>
        </w:tc>
        <w:tc>
          <w:tcPr>
            <w:tcW w:w="991" w:type="pct"/>
            <w:vMerge w:val="continue"/>
          </w:tcPr>
          <w:p w14:paraId="068DE636">
            <w:pPr>
              <w:pStyle w:val="80"/>
            </w:pPr>
          </w:p>
        </w:tc>
        <w:tc>
          <w:tcPr>
            <w:tcW w:w="1145" w:type="pct"/>
          </w:tcPr>
          <w:p w14:paraId="0CC55593">
            <w:pPr>
              <w:pStyle w:val="80"/>
            </w:pPr>
            <w:r>
              <w:t>Подписание документов повторного МЭК</w:t>
            </w:r>
          </w:p>
        </w:tc>
        <w:tc>
          <w:tcPr>
            <w:tcW w:w="1213" w:type="pct"/>
            <w:vMerge w:val="continue"/>
          </w:tcPr>
          <w:p w14:paraId="0970A579">
            <w:pPr>
              <w:pStyle w:val="80"/>
            </w:pPr>
          </w:p>
        </w:tc>
        <w:tc>
          <w:tcPr>
            <w:tcW w:w="583" w:type="pct"/>
          </w:tcPr>
          <w:p w14:paraId="4188C7DB">
            <w:pPr>
              <w:pStyle w:val="83"/>
            </w:pPr>
            <w:r>
              <w:fldChar w:fldCharType="begin"/>
            </w:r>
            <w:r>
              <w:instrText xml:space="preserve"> REF _Ref206016179 \n \h </w:instrText>
            </w:r>
            <w:r>
              <w:fldChar w:fldCharType="separate"/>
            </w:r>
            <w:r>
              <w:t>4.9.3</w:t>
            </w:r>
            <w:r>
              <w:fldChar w:fldCharType="end"/>
            </w:r>
          </w:p>
        </w:tc>
      </w:tr>
      <w:tr w14:paraId="27C66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52AB79EC">
            <w:pPr>
              <w:pStyle w:val="83"/>
            </w:pPr>
          </w:p>
        </w:tc>
        <w:tc>
          <w:tcPr>
            <w:tcW w:w="991" w:type="pct"/>
            <w:vMerge w:val="continue"/>
          </w:tcPr>
          <w:p w14:paraId="177142E8">
            <w:pPr>
              <w:pStyle w:val="80"/>
            </w:pPr>
          </w:p>
        </w:tc>
        <w:tc>
          <w:tcPr>
            <w:tcW w:w="1145" w:type="pct"/>
          </w:tcPr>
          <w:p w14:paraId="6F206E88">
            <w:pPr>
              <w:pStyle w:val="80"/>
            </w:pPr>
            <w:r>
              <w:t>Публикация повторного МЭК</w:t>
            </w:r>
          </w:p>
        </w:tc>
        <w:tc>
          <w:tcPr>
            <w:tcW w:w="1213" w:type="pct"/>
            <w:vMerge w:val="continue"/>
          </w:tcPr>
          <w:p w14:paraId="4A3D56B6">
            <w:pPr>
              <w:pStyle w:val="80"/>
            </w:pPr>
          </w:p>
        </w:tc>
        <w:tc>
          <w:tcPr>
            <w:tcW w:w="583" w:type="pct"/>
          </w:tcPr>
          <w:p w14:paraId="2E344EF9">
            <w:pPr>
              <w:pStyle w:val="83"/>
            </w:pPr>
            <w:r>
              <w:fldChar w:fldCharType="begin"/>
            </w:r>
            <w:r>
              <w:instrText xml:space="preserve"> REF _Ref166668840 \n \h  \* MERGEFORMAT </w:instrText>
            </w:r>
            <w:r>
              <w:fldChar w:fldCharType="separate"/>
            </w:r>
            <w:r>
              <w:t>4.9.4</w:t>
            </w:r>
            <w:r>
              <w:fldChar w:fldCharType="end"/>
            </w:r>
          </w:p>
        </w:tc>
      </w:tr>
      <w:tr w14:paraId="1EEF4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restart"/>
          </w:tcPr>
          <w:p w14:paraId="0218791C">
            <w:pPr>
              <w:pStyle w:val="83"/>
            </w:pPr>
            <w:r>
              <w:t>Коечный фонд (</w:t>
            </w:r>
            <w:r>
              <w:fldChar w:fldCharType="begin"/>
            </w:r>
            <w:r>
              <w:instrText xml:space="preserve"> REF _Ref182941217 \n \h  \* MERGEFORMAT </w:instrText>
            </w:r>
            <w:r>
              <w:fldChar w:fldCharType="separate"/>
            </w:r>
            <w:r>
              <w:t>4.10</w:t>
            </w:r>
            <w:r>
              <w:fldChar w:fldCharType="end"/>
            </w:r>
            <w:r>
              <w:t>)</w:t>
            </w:r>
          </w:p>
        </w:tc>
        <w:tc>
          <w:tcPr>
            <w:tcW w:w="991" w:type="pct"/>
            <w:vMerge w:val="restart"/>
          </w:tcPr>
          <w:p w14:paraId="7FEAD0D4">
            <w:pPr>
              <w:pStyle w:val="80"/>
            </w:pPr>
            <w:r>
              <w:t>Учет доступности коечного фонда МО</w:t>
            </w:r>
          </w:p>
        </w:tc>
        <w:tc>
          <w:tcPr>
            <w:tcW w:w="1145" w:type="pct"/>
          </w:tcPr>
          <w:p w14:paraId="6E5A54EB">
            <w:pPr>
              <w:pStyle w:val="80"/>
            </w:pPr>
            <w:r>
              <w:t>Просмотр сведений по учету коечного фонда</w:t>
            </w:r>
          </w:p>
        </w:tc>
        <w:tc>
          <w:tcPr>
            <w:tcW w:w="1213" w:type="pct"/>
            <w:vMerge w:val="restart"/>
          </w:tcPr>
          <w:p w14:paraId="2BC220C1">
            <w:pPr>
              <w:pStyle w:val="80"/>
            </w:pPr>
            <w:r>
              <w:t>Плательщик ТФОМС,</w:t>
            </w:r>
          </w:p>
          <w:p w14:paraId="56E648F6">
            <w:pPr>
              <w:pStyle w:val="80"/>
            </w:pPr>
            <w:r>
              <w:t>Куратор по СМО,</w:t>
            </w:r>
          </w:p>
          <w:p w14:paraId="1A78AE8A">
            <w:pPr>
              <w:pStyle w:val="80"/>
            </w:pPr>
            <w:r>
              <w:t>Куратор по МО</w:t>
            </w:r>
          </w:p>
        </w:tc>
        <w:tc>
          <w:tcPr>
            <w:tcW w:w="583" w:type="pct"/>
          </w:tcPr>
          <w:p w14:paraId="22CC9EA7">
            <w:pPr>
              <w:pStyle w:val="83"/>
            </w:pPr>
            <w:r>
              <w:fldChar w:fldCharType="begin"/>
            </w:r>
            <w:r>
              <w:instrText xml:space="preserve"> REF _Ref182922805 \n \h  \* MERGEFORMAT </w:instrText>
            </w:r>
            <w:r>
              <w:fldChar w:fldCharType="separate"/>
            </w:r>
            <w:r>
              <w:t>4.10.1</w:t>
            </w:r>
            <w:r>
              <w:fldChar w:fldCharType="end"/>
            </w:r>
          </w:p>
        </w:tc>
      </w:tr>
      <w:tr w14:paraId="31433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5BA4A414">
            <w:pPr>
              <w:pStyle w:val="83"/>
            </w:pPr>
          </w:p>
        </w:tc>
        <w:tc>
          <w:tcPr>
            <w:tcW w:w="991" w:type="pct"/>
            <w:vMerge w:val="continue"/>
          </w:tcPr>
          <w:p w14:paraId="563784B5">
            <w:pPr>
              <w:pStyle w:val="80"/>
            </w:pPr>
          </w:p>
        </w:tc>
        <w:tc>
          <w:tcPr>
            <w:tcW w:w="1145" w:type="pct"/>
          </w:tcPr>
          <w:p w14:paraId="2AEAEDBF">
            <w:pPr>
              <w:pStyle w:val="80"/>
            </w:pPr>
            <w:r>
              <w:t>Формирование отчета о доступности коечного фонда</w:t>
            </w:r>
          </w:p>
        </w:tc>
        <w:tc>
          <w:tcPr>
            <w:tcW w:w="1213" w:type="pct"/>
            <w:vMerge w:val="continue"/>
          </w:tcPr>
          <w:p w14:paraId="11AF71A3">
            <w:pPr>
              <w:pStyle w:val="80"/>
            </w:pPr>
          </w:p>
        </w:tc>
        <w:tc>
          <w:tcPr>
            <w:tcW w:w="583" w:type="pct"/>
          </w:tcPr>
          <w:p w14:paraId="12A72501">
            <w:pPr>
              <w:pStyle w:val="83"/>
            </w:pPr>
            <w:r>
              <w:fldChar w:fldCharType="begin"/>
            </w:r>
            <w:r>
              <w:instrText xml:space="preserve"> REF _Ref206016225 \n \h </w:instrText>
            </w:r>
            <w:r>
              <w:fldChar w:fldCharType="separate"/>
            </w:r>
            <w:r>
              <w:t>4.10.2</w:t>
            </w:r>
            <w:r>
              <w:fldChar w:fldCharType="end"/>
            </w:r>
          </w:p>
        </w:tc>
      </w:tr>
      <w:tr w14:paraId="27263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7BFA1E87">
            <w:pPr>
              <w:pStyle w:val="83"/>
            </w:pPr>
          </w:p>
        </w:tc>
        <w:tc>
          <w:tcPr>
            <w:tcW w:w="991" w:type="pct"/>
            <w:vMerge w:val="continue"/>
          </w:tcPr>
          <w:p w14:paraId="45721089">
            <w:pPr>
              <w:pStyle w:val="80"/>
            </w:pPr>
          </w:p>
        </w:tc>
        <w:tc>
          <w:tcPr>
            <w:tcW w:w="1145" w:type="pct"/>
          </w:tcPr>
          <w:p w14:paraId="43F13C66">
            <w:pPr>
              <w:pStyle w:val="80"/>
            </w:pPr>
            <w:r>
              <w:t>Просмотр сведений об обороте коечного фонда за период</w:t>
            </w:r>
          </w:p>
        </w:tc>
        <w:tc>
          <w:tcPr>
            <w:tcW w:w="1213" w:type="pct"/>
            <w:vMerge w:val="continue"/>
          </w:tcPr>
          <w:p w14:paraId="18A6ECB9">
            <w:pPr>
              <w:pStyle w:val="80"/>
            </w:pPr>
          </w:p>
        </w:tc>
        <w:tc>
          <w:tcPr>
            <w:tcW w:w="583" w:type="pct"/>
          </w:tcPr>
          <w:p w14:paraId="56D43C9D">
            <w:pPr>
              <w:pStyle w:val="83"/>
            </w:pPr>
            <w:r>
              <w:fldChar w:fldCharType="begin"/>
            </w:r>
            <w:r>
              <w:instrText xml:space="preserve"> REF _Ref206016233 \n \h </w:instrText>
            </w:r>
            <w:r>
              <w:fldChar w:fldCharType="separate"/>
            </w:r>
            <w:r>
              <w:t>4.10.3</w:t>
            </w:r>
            <w:r>
              <w:fldChar w:fldCharType="end"/>
            </w:r>
          </w:p>
        </w:tc>
      </w:tr>
      <w:tr w14:paraId="438E3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7F2CB830">
            <w:pPr>
              <w:pStyle w:val="83"/>
            </w:pPr>
          </w:p>
        </w:tc>
        <w:tc>
          <w:tcPr>
            <w:tcW w:w="991" w:type="pct"/>
            <w:vMerge w:val="continue"/>
          </w:tcPr>
          <w:p w14:paraId="71A314F4">
            <w:pPr>
              <w:pStyle w:val="80"/>
            </w:pPr>
          </w:p>
        </w:tc>
        <w:tc>
          <w:tcPr>
            <w:tcW w:w="1145" w:type="pct"/>
          </w:tcPr>
          <w:p w14:paraId="1867B6E0">
            <w:pPr>
              <w:pStyle w:val="80"/>
            </w:pPr>
            <w:r>
              <w:t>Просмотр сведений по планируемым показателям свободных мест</w:t>
            </w:r>
          </w:p>
        </w:tc>
        <w:tc>
          <w:tcPr>
            <w:tcW w:w="1213" w:type="pct"/>
            <w:vMerge w:val="continue"/>
          </w:tcPr>
          <w:p w14:paraId="5DDF67F2">
            <w:pPr>
              <w:pStyle w:val="80"/>
            </w:pPr>
          </w:p>
        </w:tc>
        <w:tc>
          <w:tcPr>
            <w:tcW w:w="583" w:type="pct"/>
          </w:tcPr>
          <w:p w14:paraId="5EA38E12">
            <w:pPr>
              <w:pStyle w:val="83"/>
            </w:pPr>
            <w:r>
              <w:fldChar w:fldCharType="begin"/>
            </w:r>
            <w:r>
              <w:instrText xml:space="preserve"> REF _Ref206016241 \n \h </w:instrText>
            </w:r>
            <w:r>
              <w:fldChar w:fldCharType="separate"/>
            </w:r>
            <w:r>
              <w:t>4.10.4</w:t>
            </w:r>
            <w:r>
              <w:fldChar w:fldCharType="end"/>
            </w:r>
          </w:p>
        </w:tc>
      </w:tr>
      <w:tr w14:paraId="2F66E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42B7C7A5">
            <w:pPr>
              <w:pStyle w:val="83"/>
            </w:pPr>
          </w:p>
        </w:tc>
        <w:tc>
          <w:tcPr>
            <w:tcW w:w="991" w:type="pct"/>
            <w:vMerge w:val="continue"/>
          </w:tcPr>
          <w:p w14:paraId="1F72EDC5">
            <w:pPr>
              <w:pStyle w:val="80"/>
            </w:pPr>
          </w:p>
        </w:tc>
        <w:tc>
          <w:tcPr>
            <w:tcW w:w="1145" w:type="pct"/>
          </w:tcPr>
          <w:p w14:paraId="17185677">
            <w:pPr>
              <w:pStyle w:val="80"/>
            </w:pPr>
            <w:r>
              <w:t>Просмотр данных коечного фонда в графическом виде</w:t>
            </w:r>
          </w:p>
        </w:tc>
        <w:tc>
          <w:tcPr>
            <w:tcW w:w="1213" w:type="pct"/>
            <w:vMerge w:val="continue"/>
          </w:tcPr>
          <w:p w14:paraId="1BB9DA0A">
            <w:pPr>
              <w:pStyle w:val="80"/>
            </w:pPr>
          </w:p>
        </w:tc>
        <w:tc>
          <w:tcPr>
            <w:tcW w:w="583" w:type="pct"/>
          </w:tcPr>
          <w:p w14:paraId="43EE7E0F">
            <w:pPr>
              <w:pStyle w:val="83"/>
            </w:pPr>
            <w:r>
              <w:fldChar w:fldCharType="begin"/>
            </w:r>
            <w:r>
              <w:instrText xml:space="preserve"> REF _Ref205565325 \n \h </w:instrText>
            </w:r>
            <w:r>
              <w:fldChar w:fldCharType="separate"/>
            </w:r>
            <w:r>
              <w:t>4.10.5</w:t>
            </w:r>
            <w:r>
              <w:fldChar w:fldCharType="end"/>
            </w:r>
          </w:p>
        </w:tc>
      </w:tr>
      <w:tr w14:paraId="76214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restart"/>
          </w:tcPr>
          <w:p w14:paraId="1A235974">
            <w:pPr>
              <w:pStyle w:val="83"/>
              <w:rPr>
                <w:szCs w:val="22"/>
              </w:rPr>
            </w:pPr>
            <w:r>
              <w:rPr>
                <w:szCs w:val="22"/>
              </w:rPr>
              <w:t>Организационно-штатная структура</w:t>
            </w:r>
          </w:p>
          <w:p w14:paraId="592B68AB">
            <w:pPr>
              <w:pStyle w:val="83"/>
            </w:pPr>
            <w:r>
              <w:rPr>
                <w:szCs w:val="22"/>
              </w:rPr>
              <w:t>(</w:t>
            </w:r>
            <w:r>
              <w:rPr>
                <w:szCs w:val="22"/>
              </w:rPr>
              <w:fldChar w:fldCharType="begin"/>
            </w:r>
            <w:r>
              <w:rPr>
                <w:szCs w:val="22"/>
              </w:rPr>
              <w:instrText xml:space="preserve"> REF _Ref182996310 \n \h  \* MERGEFORMAT </w:instrText>
            </w:r>
            <w:r>
              <w:rPr>
                <w:szCs w:val="22"/>
              </w:rPr>
              <w:fldChar w:fldCharType="separate"/>
            </w:r>
            <w:r>
              <w:rPr>
                <w:szCs w:val="22"/>
              </w:rPr>
              <w:t>4.11</w:t>
            </w:r>
            <w:r>
              <w:rPr>
                <w:szCs w:val="22"/>
              </w:rPr>
              <w:fldChar w:fldCharType="end"/>
            </w:r>
            <w:r>
              <w:rPr>
                <w:szCs w:val="22"/>
              </w:rPr>
              <w:t>)</w:t>
            </w:r>
          </w:p>
        </w:tc>
        <w:tc>
          <w:tcPr>
            <w:tcW w:w="991" w:type="pct"/>
            <w:vMerge w:val="restart"/>
          </w:tcPr>
          <w:p w14:paraId="715B446E">
            <w:pPr>
              <w:pStyle w:val="80"/>
            </w:pPr>
            <w:r>
              <w:t>Просмотр сведений ОШС МО по данным ФРМО и ФРМР</w:t>
            </w:r>
          </w:p>
        </w:tc>
        <w:tc>
          <w:tcPr>
            <w:tcW w:w="1145" w:type="pct"/>
          </w:tcPr>
          <w:p w14:paraId="555D27C5">
            <w:pPr>
              <w:pStyle w:val="80"/>
            </w:pPr>
            <w:r>
              <w:t>Просмотр сведений о медицинской организации и медицинских работниках</w:t>
            </w:r>
          </w:p>
        </w:tc>
        <w:tc>
          <w:tcPr>
            <w:tcW w:w="1213" w:type="pct"/>
            <w:vMerge w:val="restart"/>
          </w:tcPr>
          <w:p w14:paraId="31D3DC5D">
            <w:pPr>
              <w:pStyle w:val="80"/>
            </w:pPr>
            <w:r>
              <w:t>Плательщик ТФОМС,</w:t>
            </w:r>
          </w:p>
          <w:p w14:paraId="27B9BB05">
            <w:pPr>
              <w:pStyle w:val="80"/>
            </w:pPr>
            <w:r>
              <w:t>Куратор по СМО,</w:t>
            </w:r>
          </w:p>
          <w:p w14:paraId="71CB9B7D">
            <w:pPr>
              <w:pStyle w:val="80"/>
            </w:pPr>
            <w:r>
              <w:t>Куратор по МО</w:t>
            </w:r>
          </w:p>
        </w:tc>
        <w:tc>
          <w:tcPr>
            <w:tcW w:w="583" w:type="pct"/>
          </w:tcPr>
          <w:p w14:paraId="2B18EBF8">
            <w:pPr>
              <w:pStyle w:val="83"/>
            </w:pPr>
            <w:r>
              <w:rPr>
                <w:szCs w:val="22"/>
              </w:rPr>
              <w:fldChar w:fldCharType="begin"/>
            </w:r>
            <w:r>
              <w:rPr>
                <w:szCs w:val="22"/>
              </w:rPr>
              <w:instrText xml:space="preserve"> REF _Ref182996172 \n \h  \* MERGEFORMAT </w:instrText>
            </w:r>
            <w:r>
              <w:rPr>
                <w:szCs w:val="22"/>
              </w:rPr>
              <w:fldChar w:fldCharType="separate"/>
            </w:r>
            <w:r>
              <w:rPr>
                <w:szCs w:val="22"/>
              </w:rPr>
              <w:t>4.11.1</w:t>
            </w:r>
            <w:r>
              <w:rPr>
                <w:szCs w:val="22"/>
              </w:rPr>
              <w:fldChar w:fldCharType="end"/>
            </w:r>
          </w:p>
        </w:tc>
      </w:tr>
      <w:tr w14:paraId="19B72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76FD5D9A">
            <w:pPr>
              <w:pStyle w:val="83"/>
            </w:pPr>
          </w:p>
        </w:tc>
        <w:tc>
          <w:tcPr>
            <w:tcW w:w="991" w:type="pct"/>
            <w:vMerge w:val="continue"/>
          </w:tcPr>
          <w:p w14:paraId="70FCC9AA">
            <w:pPr>
              <w:pStyle w:val="80"/>
            </w:pPr>
          </w:p>
        </w:tc>
        <w:tc>
          <w:tcPr>
            <w:tcW w:w="1145" w:type="pct"/>
          </w:tcPr>
          <w:p w14:paraId="2CD16E2D">
            <w:pPr>
              <w:pStyle w:val="80"/>
            </w:pPr>
            <w:r>
              <w:rPr>
                <w:szCs w:val="22"/>
              </w:rPr>
              <w:t>Просмотр сведений о медицинских организациях</w:t>
            </w:r>
          </w:p>
        </w:tc>
        <w:tc>
          <w:tcPr>
            <w:tcW w:w="1213" w:type="pct"/>
            <w:vMerge w:val="continue"/>
          </w:tcPr>
          <w:p w14:paraId="797C9214">
            <w:pPr>
              <w:pStyle w:val="104"/>
            </w:pPr>
          </w:p>
        </w:tc>
        <w:tc>
          <w:tcPr>
            <w:tcW w:w="583" w:type="pct"/>
          </w:tcPr>
          <w:p w14:paraId="3AFD1263">
            <w:pPr>
              <w:pStyle w:val="83"/>
            </w:pPr>
            <w:r>
              <w:rPr>
                <w:szCs w:val="22"/>
              </w:rPr>
              <w:fldChar w:fldCharType="begin"/>
            </w:r>
            <w:r>
              <w:rPr>
                <w:szCs w:val="22"/>
              </w:rPr>
              <w:instrText xml:space="preserve"> REF _Ref182996192 \n \h  \* MERGEFORMAT </w:instrText>
            </w:r>
            <w:r>
              <w:rPr>
                <w:szCs w:val="22"/>
              </w:rPr>
              <w:fldChar w:fldCharType="separate"/>
            </w:r>
            <w:r>
              <w:rPr>
                <w:szCs w:val="22"/>
              </w:rPr>
              <w:t>4.11.2</w:t>
            </w:r>
            <w:r>
              <w:rPr>
                <w:szCs w:val="22"/>
              </w:rPr>
              <w:fldChar w:fldCharType="end"/>
            </w:r>
          </w:p>
        </w:tc>
      </w:tr>
      <w:tr w14:paraId="1510D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21C78CD3">
            <w:pPr>
              <w:pStyle w:val="83"/>
            </w:pPr>
          </w:p>
        </w:tc>
        <w:tc>
          <w:tcPr>
            <w:tcW w:w="991" w:type="pct"/>
            <w:vMerge w:val="continue"/>
          </w:tcPr>
          <w:p w14:paraId="7F7246DA">
            <w:pPr>
              <w:pStyle w:val="80"/>
            </w:pPr>
          </w:p>
        </w:tc>
        <w:tc>
          <w:tcPr>
            <w:tcW w:w="1145" w:type="pct"/>
          </w:tcPr>
          <w:p w14:paraId="5E150EFB">
            <w:pPr>
              <w:pStyle w:val="80"/>
            </w:pPr>
            <w:r>
              <w:rPr>
                <w:szCs w:val="22"/>
              </w:rPr>
              <w:t>Просмотр сведений о структурных подразделениях</w:t>
            </w:r>
          </w:p>
        </w:tc>
        <w:tc>
          <w:tcPr>
            <w:tcW w:w="1213" w:type="pct"/>
            <w:vMerge w:val="continue"/>
          </w:tcPr>
          <w:p w14:paraId="68ECA1B3">
            <w:pPr>
              <w:pStyle w:val="104"/>
            </w:pPr>
          </w:p>
        </w:tc>
        <w:tc>
          <w:tcPr>
            <w:tcW w:w="583" w:type="pct"/>
          </w:tcPr>
          <w:p w14:paraId="59044D28">
            <w:pPr>
              <w:pStyle w:val="83"/>
            </w:pPr>
            <w:r>
              <w:rPr>
                <w:szCs w:val="22"/>
              </w:rPr>
              <w:fldChar w:fldCharType="begin"/>
            </w:r>
            <w:r>
              <w:rPr>
                <w:szCs w:val="22"/>
              </w:rPr>
              <w:instrText xml:space="preserve"> REF _Ref147233499 \n \h  \* MERGEFORMAT </w:instrText>
            </w:r>
            <w:r>
              <w:rPr>
                <w:szCs w:val="22"/>
              </w:rPr>
              <w:fldChar w:fldCharType="separate"/>
            </w:r>
            <w:r>
              <w:rPr>
                <w:szCs w:val="22"/>
              </w:rPr>
              <w:t>4.11.3</w:t>
            </w:r>
            <w:r>
              <w:rPr>
                <w:szCs w:val="22"/>
              </w:rPr>
              <w:fldChar w:fldCharType="end"/>
            </w:r>
          </w:p>
        </w:tc>
      </w:tr>
      <w:tr w14:paraId="070A4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433124AE">
            <w:pPr>
              <w:pStyle w:val="83"/>
            </w:pPr>
          </w:p>
        </w:tc>
        <w:tc>
          <w:tcPr>
            <w:tcW w:w="991" w:type="pct"/>
            <w:vMerge w:val="continue"/>
          </w:tcPr>
          <w:p w14:paraId="4F590C70">
            <w:pPr>
              <w:pStyle w:val="80"/>
            </w:pPr>
          </w:p>
        </w:tc>
        <w:tc>
          <w:tcPr>
            <w:tcW w:w="1145" w:type="pct"/>
          </w:tcPr>
          <w:p w14:paraId="263F0DBD">
            <w:pPr>
              <w:pStyle w:val="80"/>
            </w:pPr>
            <w:r>
              <w:rPr>
                <w:szCs w:val="22"/>
              </w:rPr>
              <w:t>Просмотр сведений об отделениях и кабинетах</w:t>
            </w:r>
          </w:p>
        </w:tc>
        <w:tc>
          <w:tcPr>
            <w:tcW w:w="1213" w:type="pct"/>
            <w:vMerge w:val="continue"/>
          </w:tcPr>
          <w:p w14:paraId="5BFED876">
            <w:pPr>
              <w:pStyle w:val="104"/>
            </w:pPr>
          </w:p>
        </w:tc>
        <w:tc>
          <w:tcPr>
            <w:tcW w:w="583" w:type="pct"/>
          </w:tcPr>
          <w:p w14:paraId="5AC307AC">
            <w:pPr>
              <w:pStyle w:val="83"/>
            </w:pPr>
            <w:r>
              <w:rPr>
                <w:szCs w:val="22"/>
              </w:rPr>
              <w:fldChar w:fldCharType="begin"/>
            </w:r>
            <w:r>
              <w:rPr>
                <w:szCs w:val="22"/>
              </w:rPr>
              <w:instrText xml:space="preserve"> REF _Ref147161945 \n \h  \* MERGEFORMAT </w:instrText>
            </w:r>
            <w:r>
              <w:rPr>
                <w:szCs w:val="22"/>
              </w:rPr>
              <w:fldChar w:fldCharType="separate"/>
            </w:r>
            <w:r>
              <w:rPr>
                <w:szCs w:val="22"/>
              </w:rPr>
              <w:t>4.11.4</w:t>
            </w:r>
            <w:r>
              <w:rPr>
                <w:szCs w:val="22"/>
              </w:rPr>
              <w:fldChar w:fldCharType="end"/>
            </w:r>
          </w:p>
        </w:tc>
      </w:tr>
      <w:tr w14:paraId="1558F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301533D2">
            <w:pPr>
              <w:pStyle w:val="83"/>
            </w:pPr>
          </w:p>
        </w:tc>
        <w:tc>
          <w:tcPr>
            <w:tcW w:w="991" w:type="pct"/>
            <w:vMerge w:val="continue"/>
          </w:tcPr>
          <w:p w14:paraId="3871C9FE">
            <w:pPr>
              <w:pStyle w:val="80"/>
            </w:pPr>
          </w:p>
        </w:tc>
        <w:tc>
          <w:tcPr>
            <w:tcW w:w="1145" w:type="pct"/>
          </w:tcPr>
          <w:p w14:paraId="005EF2CA">
            <w:pPr>
              <w:pStyle w:val="80"/>
            </w:pPr>
            <w:r>
              <w:rPr>
                <w:szCs w:val="22"/>
              </w:rPr>
              <w:t>Просмотр сведений о занятости медицинских работников</w:t>
            </w:r>
          </w:p>
        </w:tc>
        <w:tc>
          <w:tcPr>
            <w:tcW w:w="1213" w:type="pct"/>
            <w:vMerge w:val="continue"/>
          </w:tcPr>
          <w:p w14:paraId="5594D6DE">
            <w:pPr>
              <w:pStyle w:val="104"/>
            </w:pPr>
          </w:p>
        </w:tc>
        <w:tc>
          <w:tcPr>
            <w:tcW w:w="583" w:type="pct"/>
          </w:tcPr>
          <w:p w14:paraId="4A03F849">
            <w:pPr>
              <w:pStyle w:val="83"/>
            </w:pPr>
            <w:r>
              <w:rPr>
                <w:szCs w:val="22"/>
              </w:rPr>
              <w:fldChar w:fldCharType="begin"/>
            </w:r>
            <w:r>
              <w:rPr>
                <w:szCs w:val="22"/>
              </w:rPr>
              <w:instrText xml:space="preserve"> REF _Ref182996243 \n \h  \* MERGEFORMAT </w:instrText>
            </w:r>
            <w:r>
              <w:rPr>
                <w:szCs w:val="22"/>
              </w:rPr>
              <w:fldChar w:fldCharType="separate"/>
            </w:r>
            <w:r>
              <w:rPr>
                <w:szCs w:val="22"/>
              </w:rPr>
              <w:t>4.11.5</w:t>
            </w:r>
            <w:r>
              <w:rPr>
                <w:szCs w:val="22"/>
              </w:rPr>
              <w:fldChar w:fldCharType="end"/>
            </w:r>
          </w:p>
        </w:tc>
      </w:tr>
      <w:tr w14:paraId="51EC9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restart"/>
          </w:tcPr>
          <w:p w14:paraId="6DD81F5F">
            <w:pPr>
              <w:pStyle w:val="83"/>
            </w:pPr>
            <w:r>
              <w:t>Список отчетов</w:t>
            </w:r>
          </w:p>
          <w:p w14:paraId="5D6218A5">
            <w:pPr>
              <w:pStyle w:val="83"/>
              <w:rPr>
                <w:lang w:val="en-US"/>
              </w:rPr>
            </w:pPr>
            <w:r>
              <w:rPr>
                <w:lang w:val="en-US"/>
              </w:rPr>
              <w:t>(</w:t>
            </w:r>
            <w:r>
              <w:fldChar w:fldCharType="begin"/>
            </w:r>
            <w:r>
              <w:instrText xml:space="preserve"> REF _Ref195107557 \n \h </w:instrText>
            </w:r>
            <w:r>
              <w:fldChar w:fldCharType="separate"/>
            </w:r>
            <w:r>
              <w:t>4.12</w:t>
            </w:r>
            <w:r>
              <w:fldChar w:fldCharType="end"/>
            </w:r>
            <w:r>
              <w:rPr>
                <w:lang w:val="en-US"/>
              </w:rPr>
              <w:t>)</w:t>
            </w:r>
          </w:p>
        </w:tc>
        <w:tc>
          <w:tcPr>
            <w:tcW w:w="991" w:type="pct"/>
            <w:vMerge w:val="restart"/>
          </w:tcPr>
          <w:p w14:paraId="2F1A9095">
            <w:pPr>
              <w:pStyle w:val="80"/>
            </w:pPr>
            <w:r>
              <w:t>Формирование и просмотр отчетов по фактически оказанным объемам МП</w:t>
            </w:r>
          </w:p>
        </w:tc>
        <w:tc>
          <w:tcPr>
            <w:tcW w:w="1145" w:type="pct"/>
          </w:tcPr>
          <w:p w14:paraId="2929659E">
            <w:pPr>
              <w:pStyle w:val="80"/>
              <w:rPr>
                <w:szCs w:val="22"/>
              </w:rPr>
            </w:pPr>
            <w:r>
              <w:rPr>
                <w:szCs w:val="22"/>
              </w:rPr>
              <w:t xml:space="preserve">Поиск и просмотр сформированных отчетов </w:t>
            </w:r>
            <w:r>
              <w:t>«План-Факт» и «Факт за месяц»</w:t>
            </w:r>
          </w:p>
        </w:tc>
        <w:tc>
          <w:tcPr>
            <w:tcW w:w="1213" w:type="pct"/>
          </w:tcPr>
          <w:p w14:paraId="2C2D05AC">
            <w:pPr>
              <w:pStyle w:val="80"/>
            </w:pPr>
            <w:r>
              <w:t>Плательщик ТФОМС,</w:t>
            </w:r>
          </w:p>
          <w:p w14:paraId="612E4D19">
            <w:pPr>
              <w:pStyle w:val="80"/>
            </w:pPr>
            <w:r>
              <w:t>Куратор по СМО,</w:t>
            </w:r>
          </w:p>
          <w:p w14:paraId="342C2ECC">
            <w:pPr>
              <w:pStyle w:val="80"/>
            </w:pPr>
            <w:r>
              <w:t>Куратор по МО</w:t>
            </w:r>
          </w:p>
        </w:tc>
        <w:tc>
          <w:tcPr>
            <w:tcW w:w="583" w:type="pct"/>
          </w:tcPr>
          <w:p w14:paraId="1E0C1E21">
            <w:pPr>
              <w:pStyle w:val="83"/>
              <w:rPr>
                <w:szCs w:val="22"/>
              </w:rPr>
            </w:pPr>
            <w:r>
              <w:rPr>
                <w:szCs w:val="22"/>
              </w:rPr>
              <w:fldChar w:fldCharType="begin"/>
            </w:r>
            <w:r>
              <w:rPr>
                <w:szCs w:val="22"/>
              </w:rPr>
              <w:instrText xml:space="preserve"> REF _Ref195181729 \n \h </w:instrText>
            </w:r>
            <w:r>
              <w:rPr>
                <w:szCs w:val="22"/>
              </w:rPr>
              <w:fldChar w:fldCharType="separate"/>
            </w:r>
            <w:r>
              <w:rPr>
                <w:szCs w:val="22"/>
              </w:rPr>
              <w:t>4.12.1</w:t>
            </w:r>
            <w:r>
              <w:rPr>
                <w:szCs w:val="22"/>
              </w:rPr>
              <w:fldChar w:fldCharType="end"/>
            </w:r>
          </w:p>
        </w:tc>
      </w:tr>
      <w:tr w14:paraId="49210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0B6C2E3E">
            <w:pPr>
              <w:pStyle w:val="80"/>
            </w:pPr>
          </w:p>
        </w:tc>
        <w:tc>
          <w:tcPr>
            <w:tcW w:w="991" w:type="pct"/>
            <w:vMerge w:val="continue"/>
          </w:tcPr>
          <w:p w14:paraId="7070BA70">
            <w:pPr>
              <w:pStyle w:val="80"/>
            </w:pPr>
          </w:p>
        </w:tc>
        <w:tc>
          <w:tcPr>
            <w:tcW w:w="1145" w:type="pct"/>
          </w:tcPr>
          <w:p w14:paraId="2FAD4CA8">
            <w:pPr>
              <w:pStyle w:val="80"/>
              <w:rPr>
                <w:szCs w:val="22"/>
              </w:rPr>
            </w:pPr>
            <w:r>
              <w:rPr>
                <w:szCs w:val="22"/>
              </w:rPr>
              <w:t xml:space="preserve">Формирование отчетов </w:t>
            </w:r>
            <w:r>
              <w:t>«План-Факт» и «Факт за месяц»</w:t>
            </w:r>
          </w:p>
        </w:tc>
        <w:tc>
          <w:tcPr>
            <w:tcW w:w="1213" w:type="pct"/>
          </w:tcPr>
          <w:p w14:paraId="26628726">
            <w:pPr>
              <w:pStyle w:val="80"/>
            </w:pPr>
            <w:r>
              <w:t>Плательщик ТФОМС</w:t>
            </w:r>
          </w:p>
        </w:tc>
        <w:tc>
          <w:tcPr>
            <w:tcW w:w="583" w:type="pct"/>
          </w:tcPr>
          <w:p w14:paraId="2CE78689">
            <w:pPr>
              <w:pStyle w:val="83"/>
              <w:rPr>
                <w:szCs w:val="22"/>
              </w:rPr>
            </w:pPr>
            <w:r>
              <w:rPr>
                <w:szCs w:val="22"/>
              </w:rPr>
              <w:fldChar w:fldCharType="begin"/>
            </w:r>
            <w:r>
              <w:rPr>
                <w:szCs w:val="22"/>
              </w:rPr>
              <w:instrText xml:space="preserve"> REF _Ref195097030 \n \h </w:instrText>
            </w:r>
            <w:r>
              <w:rPr>
                <w:szCs w:val="22"/>
              </w:rPr>
              <w:fldChar w:fldCharType="separate"/>
            </w:r>
            <w:r>
              <w:rPr>
                <w:szCs w:val="22"/>
              </w:rPr>
              <w:t>4.12.2</w:t>
            </w:r>
            <w:r>
              <w:rPr>
                <w:szCs w:val="22"/>
              </w:rPr>
              <w:fldChar w:fldCharType="end"/>
            </w:r>
          </w:p>
        </w:tc>
      </w:tr>
      <w:tr w14:paraId="68799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322A38CA">
            <w:pPr>
              <w:pStyle w:val="80"/>
            </w:pPr>
          </w:p>
        </w:tc>
        <w:tc>
          <w:tcPr>
            <w:tcW w:w="991" w:type="pct"/>
            <w:vMerge w:val="continue"/>
          </w:tcPr>
          <w:p w14:paraId="18D16FA8">
            <w:pPr>
              <w:pStyle w:val="80"/>
            </w:pPr>
          </w:p>
        </w:tc>
        <w:tc>
          <w:tcPr>
            <w:tcW w:w="1145" w:type="pct"/>
          </w:tcPr>
          <w:p w14:paraId="35B54471">
            <w:pPr>
              <w:pStyle w:val="80"/>
              <w:rPr>
                <w:szCs w:val="22"/>
              </w:rPr>
            </w:pPr>
            <w:r>
              <w:rPr>
                <w:szCs w:val="22"/>
              </w:rPr>
              <w:t>Поиск и просмотр отчетов по Приказам ФОМС</w:t>
            </w:r>
          </w:p>
        </w:tc>
        <w:tc>
          <w:tcPr>
            <w:tcW w:w="1213" w:type="pct"/>
          </w:tcPr>
          <w:p w14:paraId="060F76AD">
            <w:pPr>
              <w:pStyle w:val="80"/>
            </w:pPr>
            <w:r>
              <w:t>Плательщик ТФОМС</w:t>
            </w:r>
          </w:p>
        </w:tc>
        <w:tc>
          <w:tcPr>
            <w:tcW w:w="583" w:type="pct"/>
          </w:tcPr>
          <w:p w14:paraId="1A48733D">
            <w:pPr>
              <w:pStyle w:val="83"/>
              <w:rPr>
                <w:szCs w:val="22"/>
              </w:rPr>
            </w:pPr>
            <w:r>
              <w:rPr>
                <w:szCs w:val="22"/>
              </w:rPr>
              <w:fldChar w:fldCharType="begin"/>
            </w:r>
            <w:r>
              <w:rPr>
                <w:szCs w:val="22"/>
              </w:rPr>
              <w:instrText xml:space="preserve"> REF _Ref202535531 \n \h </w:instrText>
            </w:r>
            <w:r>
              <w:rPr>
                <w:szCs w:val="22"/>
              </w:rPr>
              <w:fldChar w:fldCharType="separate"/>
            </w:r>
            <w:r>
              <w:rPr>
                <w:szCs w:val="22"/>
              </w:rPr>
              <w:t>4.12.3</w:t>
            </w:r>
            <w:r>
              <w:rPr>
                <w:szCs w:val="22"/>
              </w:rPr>
              <w:fldChar w:fldCharType="end"/>
            </w:r>
          </w:p>
        </w:tc>
      </w:tr>
      <w:tr w14:paraId="566B5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cantSplit/>
          <w:trHeight w:val="397" w:hRule="atLeast"/>
        </w:trPr>
        <w:tc>
          <w:tcPr>
            <w:tcW w:w="1067" w:type="pct"/>
            <w:vMerge w:val="continue"/>
          </w:tcPr>
          <w:p w14:paraId="73078819">
            <w:pPr>
              <w:pStyle w:val="80"/>
            </w:pPr>
          </w:p>
        </w:tc>
        <w:tc>
          <w:tcPr>
            <w:tcW w:w="991" w:type="pct"/>
            <w:vMerge w:val="continue"/>
          </w:tcPr>
          <w:p w14:paraId="02FD15E8">
            <w:pPr>
              <w:pStyle w:val="80"/>
            </w:pPr>
          </w:p>
        </w:tc>
        <w:tc>
          <w:tcPr>
            <w:tcW w:w="1145" w:type="pct"/>
          </w:tcPr>
          <w:p w14:paraId="423E0B45">
            <w:pPr>
              <w:pStyle w:val="80"/>
              <w:rPr>
                <w:szCs w:val="22"/>
              </w:rPr>
            </w:pPr>
            <w:r>
              <w:rPr>
                <w:szCs w:val="22"/>
              </w:rPr>
              <w:t>Запрос на формирование отчетов по Приказам ФОМС</w:t>
            </w:r>
          </w:p>
        </w:tc>
        <w:tc>
          <w:tcPr>
            <w:tcW w:w="1213" w:type="pct"/>
          </w:tcPr>
          <w:p w14:paraId="6143336D">
            <w:pPr>
              <w:pStyle w:val="80"/>
            </w:pPr>
            <w:r>
              <w:t>Плательщик ТФОМС</w:t>
            </w:r>
          </w:p>
        </w:tc>
        <w:tc>
          <w:tcPr>
            <w:tcW w:w="583" w:type="pct"/>
          </w:tcPr>
          <w:p w14:paraId="6A18D9E0">
            <w:pPr>
              <w:pStyle w:val="83"/>
              <w:rPr>
                <w:szCs w:val="22"/>
              </w:rPr>
            </w:pPr>
            <w:r>
              <w:rPr>
                <w:szCs w:val="22"/>
              </w:rPr>
              <w:fldChar w:fldCharType="begin"/>
            </w:r>
            <w:r>
              <w:rPr>
                <w:szCs w:val="22"/>
              </w:rPr>
              <w:instrText xml:space="preserve"> REF _Ref202535535 \n \h </w:instrText>
            </w:r>
            <w:r>
              <w:rPr>
                <w:szCs w:val="22"/>
              </w:rPr>
              <w:fldChar w:fldCharType="separate"/>
            </w:r>
            <w:r>
              <w:rPr>
                <w:szCs w:val="22"/>
              </w:rPr>
              <w:t>4.12.4</w:t>
            </w:r>
            <w:r>
              <w:rPr>
                <w:szCs w:val="22"/>
              </w:rPr>
              <w:fldChar w:fldCharType="end"/>
            </w:r>
          </w:p>
        </w:tc>
      </w:tr>
    </w:tbl>
    <w:p w14:paraId="72947783">
      <w:pPr>
        <w:pStyle w:val="69"/>
      </w:pPr>
    </w:p>
    <w:p w14:paraId="39B1CDE7">
      <w:pPr>
        <w:pStyle w:val="58"/>
        <w:pageBreakBefore/>
      </w:pPr>
      <w:bookmarkStart w:id="380" w:name="_Toc158734075"/>
      <w:bookmarkEnd w:id="380"/>
      <w:bookmarkStart w:id="381" w:name="_Toc158722100"/>
      <w:bookmarkEnd w:id="381"/>
      <w:bookmarkStart w:id="382" w:name="_Toc162359647"/>
      <w:bookmarkEnd w:id="382"/>
      <w:bookmarkStart w:id="383" w:name="_Toc158734076"/>
      <w:bookmarkEnd w:id="383"/>
      <w:bookmarkStart w:id="384" w:name="_Toc158719531"/>
      <w:bookmarkEnd w:id="384"/>
      <w:bookmarkStart w:id="385" w:name="_Toc158734074"/>
      <w:bookmarkEnd w:id="385"/>
      <w:bookmarkStart w:id="386" w:name="_Toc162361734"/>
      <w:bookmarkEnd w:id="386"/>
      <w:bookmarkStart w:id="387" w:name="_Toc162361736"/>
      <w:bookmarkEnd w:id="387"/>
      <w:bookmarkStart w:id="388" w:name="_Toc158719535"/>
      <w:bookmarkEnd w:id="388"/>
      <w:bookmarkStart w:id="389" w:name="_Toc162359649"/>
      <w:bookmarkEnd w:id="389"/>
      <w:bookmarkStart w:id="390" w:name="_Toc158721371"/>
      <w:bookmarkEnd w:id="390"/>
      <w:bookmarkStart w:id="391" w:name="_Toc162359643"/>
      <w:bookmarkEnd w:id="391"/>
      <w:bookmarkStart w:id="392" w:name="_Toc158722831"/>
      <w:bookmarkEnd w:id="392"/>
      <w:bookmarkStart w:id="393" w:name="_Toc158722105"/>
      <w:bookmarkEnd w:id="393"/>
      <w:bookmarkStart w:id="394" w:name="_Toc158722835"/>
      <w:bookmarkEnd w:id="394"/>
      <w:bookmarkStart w:id="395" w:name="_Toc158722104"/>
      <w:bookmarkEnd w:id="395"/>
      <w:bookmarkStart w:id="396" w:name="_Toc158722098"/>
      <w:bookmarkEnd w:id="396"/>
      <w:bookmarkStart w:id="397" w:name="_Toc158722834"/>
      <w:bookmarkEnd w:id="397"/>
      <w:bookmarkStart w:id="398" w:name="_Toc158734080"/>
      <w:bookmarkEnd w:id="398"/>
      <w:bookmarkStart w:id="399" w:name="_Toc158734081"/>
      <w:bookmarkEnd w:id="399"/>
      <w:bookmarkStart w:id="400" w:name="_Toc162359650"/>
      <w:bookmarkEnd w:id="400"/>
      <w:bookmarkStart w:id="401" w:name="_Toc162359644"/>
      <w:bookmarkEnd w:id="401"/>
      <w:bookmarkStart w:id="402" w:name="_Toc162361737"/>
      <w:bookmarkEnd w:id="402"/>
      <w:bookmarkStart w:id="403" w:name="_Toc158720267"/>
      <w:bookmarkEnd w:id="403"/>
      <w:bookmarkStart w:id="404" w:name="_Toc158722101"/>
      <w:bookmarkEnd w:id="404"/>
      <w:bookmarkStart w:id="405" w:name="_Toc158719536"/>
      <w:bookmarkEnd w:id="405"/>
      <w:bookmarkStart w:id="406" w:name="_Toc158721365"/>
      <w:bookmarkEnd w:id="406"/>
      <w:bookmarkStart w:id="407" w:name="_Toc158720264"/>
      <w:bookmarkEnd w:id="407"/>
      <w:bookmarkStart w:id="408" w:name="_Toc158722830"/>
      <w:bookmarkEnd w:id="408"/>
      <w:bookmarkStart w:id="409" w:name="_Toc158722832"/>
      <w:bookmarkEnd w:id="409"/>
      <w:bookmarkStart w:id="410" w:name="_Toc158720260"/>
      <w:bookmarkEnd w:id="410"/>
      <w:bookmarkStart w:id="411" w:name="_Toc158719530"/>
      <w:bookmarkEnd w:id="411"/>
      <w:bookmarkStart w:id="412" w:name="_Toc158720262"/>
      <w:bookmarkEnd w:id="412"/>
      <w:bookmarkStart w:id="413" w:name="_Toc162361733"/>
      <w:bookmarkEnd w:id="413"/>
      <w:bookmarkStart w:id="414" w:name="_Toc158721364"/>
      <w:bookmarkEnd w:id="414"/>
      <w:bookmarkStart w:id="415" w:name="_Toc158719533"/>
      <w:bookmarkEnd w:id="415"/>
      <w:bookmarkStart w:id="416" w:name="_Toc158720265"/>
      <w:bookmarkEnd w:id="416"/>
      <w:bookmarkStart w:id="417" w:name="_Toc158721369"/>
      <w:bookmarkEnd w:id="417"/>
      <w:bookmarkStart w:id="418" w:name="_Toc162359645"/>
      <w:bookmarkEnd w:id="418"/>
      <w:bookmarkStart w:id="419" w:name="_Toc158721368"/>
      <w:bookmarkEnd w:id="419"/>
      <w:bookmarkStart w:id="420" w:name="_Toc158722103"/>
      <w:bookmarkEnd w:id="420"/>
      <w:bookmarkStart w:id="421" w:name="_Toc158722828"/>
      <w:bookmarkEnd w:id="421"/>
      <w:bookmarkStart w:id="422" w:name="_Toc158722099"/>
      <w:bookmarkEnd w:id="422"/>
      <w:bookmarkStart w:id="423" w:name="_Toc158722102"/>
      <w:bookmarkEnd w:id="423"/>
      <w:bookmarkStart w:id="424" w:name="_Toc162361730"/>
      <w:bookmarkEnd w:id="424"/>
      <w:bookmarkStart w:id="425" w:name="_Toc158720263"/>
      <w:bookmarkEnd w:id="425"/>
      <w:bookmarkStart w:id="426" w:name="_Toc158721367"/>
      <w:bookmarkEnd w:id="426"/>
      <w:bookmarkStart w:id="427" w:name="_Toc162359646"/>
      <w:bookmarkEnd w:id="427"/>
      <w:bookmarkStart w:id="428" w:name="_Toc158722829"/>
      <w:bookmarkEnd w:id="428"/>
      <w:bookmarkStart w:id="429" w:name="_Toc158719532"/>
      <w:bookmarkEnd w:id="429"/>
      <w:bookmarkStart w:id="430" w:name="_Toc158734078"/>
      <w:bookmarkEnd w:id="430"/>
      <w:bookmarkStart w:id="431" w:name="_Toc158734077"/>
      <w:bookmarkEnd w:id="431"/>
      <w:bookmarkStart w:id="432" w:name="_Toc162361732"/>
      <w:bookmarkEnd w:id="432"/>
      <w:bookmarkStart w:id="433" w:name="_Toc158721366"/>
      <w:bookmarkEnd w:id="433"/>
      <w:bookmarkStart w:id="434" w:name="_Toc158719529"/>
      <w:bookmarkEnd w:id="434"/>
      <w:bookmarkStart w:id="435" w:name="_Toc158734079"/>
      <w:bookmarkEnd w:id="435"/>
      <w:bookmarkStart w:id="436" w:name="_Toc162359648"/>
      <w:bookmarkEnd w:id="436"/>
      <w:bookmarkStart w:id="437" w:name="_Toc158722833"/>
      <w:bookmarkEnd w:id="437"/>
      <w:bookmarkStart w:id="438" w:name="_Toc162361735"/>
      <w:bookmarkEnd w:id="438"/>
      <w:bookmarkStart w:id="439" w:name="_Toc158720261"/>
      <w:bookmarkEnd w:id="439"/>
      <w:bookmarkStart w:id="440" w:name="_Toc162361731"/>
      <w:bookmarkEnd w:id="440"/>
      <w:bookmarkStart w:id="441" w:name="_Toc158719534"/>
      <w:bookmarkEnd w:id="441"/>
      <w:bookmarkStart w:id="442" w:name="_Toc158720266"/>
      <w:bookmarkEnd w:id="442"/>
      <w:bookmarkStart w:id="443" w:name="_Toc158721370"/>
      <w:bookmarkEnd w:id="443"/>
      <w:bookmarkStart w:id="444" w:name="_Toc158722109"/>
      <w:bookmarkEnd w:id="444"/>
      <w:bookmarkStart w:id="445" w:name="_Toc158719540"/>
      <w:bookmarkEnd w:id="445"/>
      <w:bookmarkStart w:id="446" w:name="_Toc158721374"/>
      <w:bookmarkEnd w:id="446"/>
      <w:bookmarkStart w:id="447" w:name="_Toc162361745"/>
      <w:bookmarkEnd w:id="447"/>
      <w:bookmarkStart w:id="448" w:name="_Toc162361740"/>
      <w:bookmarkEnd w:id="448"/>
      <w:bookmarkStart w:id="449" w:name="_Toc158720272"/>
      <w:bookmarkEnd w:id="449"/>
      <w:bookmarkStart w:id="450" w:name="_Toc158721373"/>
      <w:bookmarkEnd w:id="450"/>
      <w:bookmarkStart w:id="451" w:name="_Toc158722111"/>
      <w:bookmarkEnd w:id="451"/>
      <w:bookmarkStart w:id="452" w:name="_Toc162361743"/>
      <w:bookmarkEnd w:id="452"/>
      <w:bookmarkStart w:id="453" w:name="_Toc158720269"/>
      <w:bookmarkEnd w:id="453"/>
      <w:bookmarkStart w:id="454" w:name="_Toc158734086"/>
      <w:bookmarkEnd w:id="454"/>
      <w:bookmarkStart w:id="455" w:name="_Toc158722842"/>
      <w:bookmarkEnd w:id="455"/>
      <w:bookmarkStart w:id="456" w:name="_Toc158734089"/>
      <w:bookmarkEnd w:id="456"/>
      <w:bookmarkStart w:id="457" w:name="_Toc158719544"/>
      <w:bookmarkEnd w:id="457"/>
      <w:bookmarkStart w:id="458" w:name="_Toc162359658"/>
      <w:bookmarkEnd w:id="458"/>
      <w:bookmarkStart w:id="459" w:name="_Toc162359651"/>
      <w:bookmarkEnd w:id="459"/>
      <w:bookmarkStart w:id="460" w:name="_Toc162361738"/>
      <w:bookmarkEnd w:id="460"/>
      <w:bookmarkStart w:id="461" w:name="_Toc158719537"/>
      <w:bookmarkEnd w:id="461"/>
      <w:bookmarkStart w:id="462" w:name="_Toc158722838"/>
      <w:bookmarkEnd w:id="462"/>
      <w:bookmarkStart w:id="463" w:name="_Toc158722839"/>
      <w:bookmarkEnd w:id="463"/>
      <w:bookmarkStart w:id="464" w:name="_Toc158721376"/>
      <w:bookmarkEnd w:id="464"/>
      <w:bookmarkStart w:id="465" w:name="_Toc162359654"/>
      <w:bookmarkEnd w:id="465"/>
      <w:bookmarkStart w:id="466" w:name="_Toc158719541"/>
      <w:bookmarkEnd w:id="466"/>
      <w:bookmarkStart w:id="467" w:name="_Toc158722837"/>
      <w:bookmarkEnd w:id="467"/>
      <w:bookmarkStart w:id="468" w:name="_Toc162359653"/>
      <w:bookmarkEnd w:id="468"/>
      <w:bookmarkStart w:id="469" w:name="_Toc158719539"/>
      <w:bookmarkEnd w:id="469"/>
      <w:bookmarkStart w:id="470" w:name="_Toc158722108"/>
      <w:bookmarkEnd w:id="470"/>
      <w:bookmarkStart w:id="471" w:name="_Toc158720271"/>
      <w:bookmarkEnd w:id="471"/>
      <w:bookmarkStart w:id="472" w:name="_Toc162361742"/>
      <w:bookmarkEnd w:id="472"/>
      <w:bookmarkStart w:id="473" w:name="_Toc158720273"/>
      <w:bookmarkEnd w:id="473"/>
      <w:bookmarkStart w:id="474" w:name="_Toc158721377"/>
      <w:bookmarkEnd w:id="474"/>
      <w:bookmarkStart w:id="475" w:name="_Toc158734087"/>
      <w:bookmarkEnd w:id="475"/>
      <w:bookmarkStart w:id="476" w:name="_Toc158734082"/>
      <w:bookmarkEnd w:id="476"/>
      <w:bookmarkStart w:id="477" w:name="_Toc158722107"/>
      <w:bookmarkEnd w:id="477"/>
      <w:bookmarkStart w:id="478" w:name="_Toc158734084"/>
      <w:bookmarkEnd w:id="478"/>
      <w:bookmarkStart w:id="479" w:name="_Toc162359656"/>
      <w:bookmarkEnd w:id="479"/>
      <w:bookmarkStart w:id="480" w:name="_Toc162361739"/>
      <w:bookmarkEnd w:id="480"/>
      <w:bookmarkStart w:id="481" w:name="_Toc158719542"/>
      <w:bookmarkEnd w:id="481"/>
      <w:bookmarkStart w:id="482" w:name="_Toc158720274"/>
      <w:bookmarkEnd w:id="482"/>
      <w:bookmarkStart w:id="483" w:name="_Toc158722841"/>
      <w:bookmarkEnd w:id="483"/>
      <w:bookmarkStart w:id="484" w:name="_Toc158720268"/>
      <w:bookmarkEnd w:id="484"/>
      <w:bookmarkStart w:id="485" w:name="_Toc158722106"/>
      <w:bookmarkEnd w:id="485"/>
      <w:bookmarkStart w:id="486" w:name="_Toc158722836"/>
      <w:bookmarkEnd w:id="486"/>
      <w:bookmarkStart w:id="487" w:name="_Toc162359655"/>
      <w:bookmarkEnd w:id="487"/>
      <w:bookmarkStart w:id="488" w:name="_Toc158721378"/>
      <w:bookmarkEnd w:id="488"/>
      <w:bookmarkStart w:id="489" w:name="_Toc158719538"/>
      <w:bookmarkEnd w:id="489"/>
      <w:bookmarkStart w:id="490" w:name="_Toc158734083"/>
      <w:bookmarkEnd w:id="490"/>
      <w:bookmarkStart w:id="491" w:name="_Toc158721372"/>
      <w:bookmarkEnd w:id="491"/>
      <w:bookmarkStart w:id="492" w:name="_Toc158720270"/>
      <w:bookmarkEnd w:id="492"/>
      <w:bookmarkStart w:id="493" w:name="_Toc158734085"/>
      <w:bookmarkEnd w:id="493"/>
      <w:bookmarkStart w:id="494" w:name="_Toc158722840"/>
      <w:bookmarkEnd w:id="494"/>
      <w:bookmarkStart w:id="495" w:name="_Toc162361741"/>
      <w:bookmarkEnd w:id="495"/>
      <w:bookmarkStart w:id="496" w:name="_Toc158722112"/>
      <w:bookmarkEnd w:id="496"/>
      <w:bookmarkStart w:id="497" w:name="_Toc158734088"/>
      <w:bookmarkEnd w:id="497"/>
      <w:bookmarkStart w:id="498" w:name="_Toc158722110"/>
      <w:bookmarkEnd w:id="498"/>
      <w:bookmarkStart w:id="499" w:name="_Toc162359657"/>
      <w:bookmarkEnd w:id="499"/>
      <w:bookmarkStart w:id="500" w:name="_Toc162359652"/>
      <w:bookmarkEnd w:id="500"/>
      <w:bookmarkStart w:id="501" w:name="_Toc162361744"/>
      <w:bookmarkEnd w:id="501"/>
      <w:bookmarkStart w:id="502" w:name="_Toc158719543"/>
      <w:bookmarkEnd w:id="502"/>
      <w:bookmarkStart w:id="503" w:name="_Toc158720275"/>
      <w:bookmarkEnd w:id="503"/>
      <w:bookmarkStart w:id="504" w:name="_Toc158722113"/>
      <w:bookmarkEnd w:id="504"/>
      <w:bookmarkStart w:id="505" w:name="_Toc158721379"/>
      <w:bookmarkEnd w:id="505"/>
      <w:bookmarkStart w:id="506" w:name="_Toc158722843"/>
      <w:bookmarkEnd w:id="506"/>
      <w:bookmarkStart w:id="507" w:name="_Toc158721375"/>
      <w:bookmarkEnd w:id="507"/>
      <w:bookmarkStart w:id="508" w:name="_Toc158722117"/>
      <w:bookmarkEnd w:id="508"/>
      <w:bookmarkStart w:id="509" w:name="_Toc158722116"/>
      <w:bookmarkEnd w:id="509"/>
      <w:bookmarkStart w:id="510" w:name="_Toc162361750"/>
      <w:bookmarkEnd w:id="510"/>
      <w:bookmarkStart w:id="511" w:name="_Toc158719549"/>
      <w:bookmarkEnd w:id="511"/>
      <w:bookmarkStart w:id="512" w:name="_Toc158719545"/>
      <w:bookmarkEnd w:id="512"/>
      <w:bookmarkStart w:id="513" w:name="_Toc158722848"/>
      <w:bookmarkEnd w:id="513"/>
      <w:bookmarkStart w:id="514" w:name="_Toc158734090"/>
      <w:bookmarkEnd w:id="514"/>
      <w:bookmarkStart w:id="515" w:name="_Toc158719546"/>
      <w:bookmarkEnd w:id="515"/>
      <w:bookmarkStart w:id="516" w:name="_Toc158720281"/>
      <w:bookmarkEnd w:id="516"/>
      <w:bookmarkStart w:id="517" w:name="_Toc158722847"/>
      <w:bookmarkEnd w:id="517"/>
      <w:bookmarkStart w:id="518" w:name="_Toc162361749"/>
      <w:bookmarkEnd w:id="518"/>
      <w:bookmarkStart w:id="519" w:name="_Toc158721385"/>
      <w:bookmarkEnd w:id="519"/>
      <w:bookmarkStart w:id="520" w:name="_Toc158734091"/>
      <w:bookmarkEnd w:id="520"/>
      <w:bookmarkStart w:id="521" w:name="_Toc158721384"/>
      <w:bookmarkEnd w:id="521"/>
      <w:bookmarkStart w:id="522" w:name="_Toc162361748"/>
      <w:bookmarkEnd w:id="522"/>
      <w:bookmarkStart w:id="523" w:name="_Toc158722119"/>
      <w:bookmarkEnd w:id="523"/>
      <w:bookmarkStart w:id="524" w:name="_Toc158721382"/>
      <w:bookmarkEnd w:id="524"/>
      <w:bookmarkStart w:id="525" w:name="_Toc158720279"/>
      <w:bookmarkEnd w:id="525"/>
      <w:bookmarkStart w:id="526" w:name="_Toc158722845"/>
      <w:bookmarkEnd w:id="526"/>
      <w:bookmarkStart w:id="527" w:name="_Toc162359664"/>
      <w:bookmarkEnd w:id="527"/>
      <w:bookmarkStart w:id="528" w:name="_Toc158719550"/>
      <w:bookmarkEnd w:id="528"/>
      <w:bookmarkStart w:id="529" w:name="_Toc158734096"/>
      <w:bookmarkEnd w:id="529"/>
      <w:bookmarkStart w:id="530" w:name="_Toc162359665"/>
      <w:bookmarkEnd w:id="530"/>
      <w:bookmarkStart w:id="531" w:name="_Toc162361752"/>
      <w:bookmarkEnd w:id="531"/>
      <w:bookmarkStart w:id="532" w:name="_Toc158719548"/>
      <w:bookmarkEnd w:id="532"/>
      <w:bookmarkStart w:id="533" w:name="_Toc158722850"/>
      <w:bookmarkEnd w:id="533"/>
      <w:bookmarkStart w:id="534" w:name="_Toc158722844"/>
      <w:bookmarkEnd w:id="534"/>
      <w:bookmarkStart w:id="535" w:name="_Toc162359662"/>
      <w:bookmarkEnd w:id="535"/>
      <w:bookmarkStart w:id="536" w:name="_Toc158720283"/>
      <w:bookmarkEnd w:id="536"/>
      <w:bookmarkStart w:id="537" w:name="_Toc158719547"/>
      <w:bookmarkEnd w:id="537"/>
      <w:bookmarkStart w:id="538" w:name="_Toc162361746"/>
      <w:bookmarkEnd w:id="538"/>
      <w:bookmarkStart w:id="539" w:name="_Toc162359659"/>
      <w:bookmarkEnd w:id="539"/>
      <w:bookmarkStart w:id="540" w:name="_Toc158720277"/>
      <w:bookmarkEnd w:id="540"/>
      <w:bookmarkStart w:id="541" w:name="_Toc158721381"/>
      <w:bookmarkEnd w:id="541"/>
      <w:bookmarkStart w:id="542" w:name="_Toc158722846"/>
      <w:bookmarkEnd w:id="542"/>
      <w:bookmarkStart w:id="543" w:name="_Toc162359661"/>
      <w:bookmarkEnd w:id="543"/>
      <w:bookmarkStart w:id="544" w:name="_Toc158734093"/>
      <w:bookmarkEnd w:id="544"/>
      <w:bookmarkStart w:id="545" w:name="_Toc158722849"/>
      <w:bookmarkEnd w:id="545"/>
      <w:bookmarkStart w:id="546" w:name="_Toc158722120"/>
      <w:bookmarkEnd w:id="546"/>
      <w:bookmarkStart w:id="547" w:name="_Toc158721387"/>
      <w:bookmarkEnd w:id="547"/>
      <w:bookmarkStart w:id="548" w:name="_Toc158722115"/>
      <w:bookmarkEnd w:id="548"/>
      <w:bookmarkStart w:id="549" w:name="_Toc158720280"/>
      <w:bookmarkEnd w:id="549"/>
      <w:bookmarkStart w:id="550" w:name="_Toc158722114"/>
      <w:bookmarkEnd w:id="550"/>
      <w:bookmarkStart w:id="551" w:name="_Toc158722121"/>
      <w:bookmarkEnd w:id="551"/>
      <w:bookmarkStart w:id="552" w:name="_Toc158722851"/>
      <w:bookmarkEnd w:id="552"/>
      <w:bookmarkStart w:id="553" w:name="_Toc158734097"/>
      <w:bookmarkEnd w:id="553"/>
      <w:bookmarkStart w:id="554" w:name="_Toc162359666"/>
      <w:bookmarkEnd w:id="554"/>
      <w:bookmarkStart w:id="555" w:name="_Toc162361751"/>
      <w:bookmarkEnd w:id="555"/>
      <w:bookmarkStart w:id="556" w:name="_Toc158734092"/>
      <w:bookmarkEnd w:id="556"/>
      <w:bookmarkStart w:id="557" w:name="_Toc162361753"/>
      <w:bookmarkEnd w:id="557"/>
      <w:bookmarkStart w:id="558" w:name="_Toc158719552"/>
      <w:bookmarkEnd w:id="558"/>
      <w:bookmarkStart w:id="559" w:name="_Toc158720276"/>
      <w:bookmarkEnd w:id="559"/>
      <w:bookmarkStart w:id="560" w:name="_Toc158720278"/>
      <w:bookmarkEnd w:id="560"/>
      <w:bookmarkStart w:id="561" w:name="_Toc158719551"/>
      <w:bookmarkEnd w:id="561"/>
      <w:bookmarkStart w:id="562" w:name="_Toc158721383"/>
      <w:bookmarkEnd w:id="562"/>
      <w:bookmarkStart w:id="563" w:name="_Toc158722118"/>
      <w:bookmarkEnd w:id="563"/>
      <w:bookmarkStart w:id="564" w:name="_Toc158734095"/>
      <w:bookmarkEnd w:id="564"/>
      <w:bookmarkStart w:id="565" w:name="_Toc158720282"/>
      <w:bookmarkEnd w:id="565"/>
      <w:bookmarkStart w:id="566" w:name="_Toc158721386"/>
      <w:bookmarkEnd w:id="566"/>
      <w:bookmarkStart w:id="567" w:name="_Toc158721380"/>
      <w:bookmarkEnd w:id="567"/>
      <w:bookmarkStart w:id="568" w:name="_Toc162359660"/>
      <w:bookmarkEnd w:id="568"/>
      <w:bookmarkStart w:id="569" w:name="_Toc162361747"/>
      <w:bookmarkEnd w:id="569"/>
      <w:bookmarkStart w:id="570" w:name="_Toc162359663"/>
      <w:bookmarkEnd w:id="570"/>
      <w:bookmarkStart w:id="571" w:name="_Toc158734094"/>
      <w:bookmarkEnd w:id="571"/>
      <w:bookmarkStart w:id="572" w:name="_Toc158734099"/>
      <w:bookmarkEnd w:id="572"/>
      <w:bookmarkStart w:id="573" w:name="_Toc162359674"/>
      <w:bookmarkEnd w:id="573"/>
      <w:bookmarkStart w:id="574" w:name="_Toc162361761"/>
      <w:bookmarkEnd w:id="574"/>
      <w:bookmarkStart w:id="575" w:name="_Toc158722852"/>
      <w:bookmarkEnd w:id="575"/>
      <w:bookmarkStart w:id="576" w:name="_Toc158719560"/>
      <w:bookmarkEnd w:id="576"/>
      <w:bookmarkStart w:id="577" w:name="_Toc158719553"/>
      <w:bookmarkEnd w:id="577"/>
      <w:bookmarkStart w:id="578" w:name="_Toc158722854"/>
      <w:bookmarkEnd w:id="578"/>
      <w:bookmarkStart w:id="579" w:name="_Toc162361754"/>
      <w:bookmarkEnd w:id="579"/>
      <w:bookmarkStart w:id="580" w:name="_Toc158722855"/>
      <w:bookmarkEnd w:id="580"/>
      <w:bookmarkStart w:id="581" w:name="_Toc158734101"/>
      <w:bookmarkEnd w:id="581"/>
      <w:bookmarkStart w:id="582" w:name="_Toc158734102"/>
      <w:bookmarkEnd w:id="582"/>
      <w:bookmarkStart w:id="583" w:name="_Toc158734098"/>
      <w:bookmarkEnd w:id="583"/>
      <w:bookmarkStart w:id="584" w:name="_Toc158734100"/>
      <w:bookmarkEnd w:id="584"/>
      <w:bookmarkStart w:id="585" w:name="_Toc158720289"/>
      <w:bookmarkEnd w:id="585"/>
      <w:bookmarkStart w:id="586" w:name="_Toc162359667"/>
      <w:bookmarkEnd w:id="586"/>
      <w:bookmarkStart w:id="587" w:name="_Toc162361758"/>
      <w:bookmarkEnd w:id="587"/>
      <w:bookmarkStart w:id="588" w:name="_Toc158721390"/>
      <w:bookmarkEnd w:id="588"/>
      <w:bookmarkStart w:id="589" w:name="_Toc162359668"/>
      <w:bookmarkEnd w:id="589"/>
      <w:bookmarkStart w:id="590" w:name="_Toc162361755"/>
      <w:bookmarkEnd w:id="590"/>
      <w:bookmarkStart w:id="591" w:name="_Toc158722856"/>
      <w:bookmarkEnd w:id="591"/>
      <w:bookmarkStart w:id="592" w:name="_Toc158720284"/>
      <w:bookmarkEnd w:id="592"/>
      <w:bookmarkStart w:id="593" w:name="_Toc158722857"/>
      <w:bookmarkEnd w:id="593"/>
      <w:bookmarkStart w:id="594" w:name="_Toc162359672"/>
      <w:bookmarkEnd w:id="594"/>
      <w:bookmarkStart w:id="595" w:name="_Toc158719557"/>
      <w:bookmarkEnd w:id="595"/>
      <w:bookmarkStart w:id="596" w:name="_Toc162361759"/>
      <w:bookmarkEnd w:id="596"/>
      <w:bookmarkStart w:id="597" w:name="_Toc158719558"/>
      <w:bookmarkEnd w:id="597"/>
      <w:bookmarkStart w:id="598" w:name="_Toc158720287"/>
      <w:bookmarkEnd w:id="598"/>
      <w:bookmarkStart w:id="599" w:name="_Toc158720290"/>
      <w:bookmarkEnd w:id="599"/>
      <w:bookmarkStart w:id="600" w:name="_Toc158721394"/>
      <w:bookmarkEnd w:id="600"/>
      <w:bookmarkStart w:id="601" w:name="_Toc158720291"/>
      <w:bookmarkEnd w:id="601"/>
      <w:bookmarkStart w:id="602" w:name="_Toc158719554"/>
      <w:bookmarkEnd w:id="602"/>
      <w:bookmarkStart w:id="603" w:name="_Toc158734103"/>
      <w:bookmarkEnd w:id="603"/>
      <w:bookmarkStart w:id="604" w:name="_Toc158721395"/>
      <w:bookmarkEnd w:id="604"/>
      <w:bookmarkStart w:id="605" w:name="_Toc158722123"/>
      <w:bookmarkEnd w:id="605"/>
      <w:bookmarkStart w:id="606" w:name="_Toc158720286"/>
      <w:bookmarkEnd w:id="606"/>
      <w:bookmarkStart w:id="607" w:name="_Toc158722853"/>
      <w:bookmarkEnd w:id="607"/>
      <w:bookmarkStart w:id="608" w:name="_Toc158722859"/>
      <w:bookmarkEnd w:id="608"/>
      <w:bookmarkStart w:id="609" w:name="_Toc158734105"/>
      <w:bookmarkEnd w:id="609"/>
      <w:bookmarkStart w:id="610" w:name="_Toc158722126"/>
      <w:bookmarkEnd w:id="610"/>
      <w:bookmarkStart w:id="611" w:name="_Toc158719559"/>
      <w:bookmarkEnd w:id="611"/>
      <w:bookmarkStart w:id="612" w:name="_Toc162361757"/>
      <w:bookmarkEnd w:id="612"/>
      <w:bookmarkStart w:id="613" w:name="_Toc158722124"/>
      <w:bookmarkEnd w:id="613"/>
      <w:bookmarkStart w:id="614" w:name="_Toc158721391"/>
      <w:bookmarkEnd w:id="614"/>
      <w:bookmarkStart w:id="615" w:name="_Toc158720285"/>
      <w:bookmarkEnd w:id="615"/>
      <w:bookmarkStart w:id="616" w:name="_Toc162359669"/>
      <w:bookmarkEnd w:id="616"/>
      <w:bookmarkStart w:id="617" w:name="_Toc162359670"/>
      <w:bookmarkEnd w:id="617"/>
      <w:bookmarkStart w:id="618" w:name="_Toc162359671"/>
      <w:bookmarkEnd w:id="618"/>
      <w:bookmarkStart w:id="619" w:name="_Toc158722127"/>
      <w:bookmarkEnd w:id="619"/>
      <w:bookmarkStart w:id="620" w:name="_Toc158722125"/>
      <w:bookmarkEnd w:id="620"/>
      <w:bookmarkStart w:id="621" w:name="_Toc158722128"/>
      <w:bookmarkEnd w:id="621"/>
      <w:bookmarkStart w:id="622" w:name="_Toc158721388"/>
      <w:bookmarkEnd w:id="622"/>
      <w:bookmarkStart w:id="623" w:name="_Toc158721392"/>
      <w:bookmarkEnd w:id="623"/>
      <w:bookmarkStart w:id="624" w:name="_Toc158722858"/>
      <w:bookmarkEnd w:id="624"/>
      <w:bookmarkStart w:id="625" w:name="_Toc162361760"/>
      <w:bookmarkEnd w:id="625"/>
      <w:bookmarkStart w:id="626" w:name="_Toc162361756"/>
      <w:bookmarkEnd w:id="626"/>
      <w:bookmarkStart w:id="627" w:name="_Toc158722129"/>
      <w:bookmarkEnd w:id="627"/>
      <w:bookmarkStart w:id="628" w:name="_Toc158722122"/>
      <w:bookmarkEnd w:id="628"/>
      <w:bookmarkStart w:id="629" w:name="_Toc158719556"/>
      <w:bookmarkEnd w:id="629"/>
      <w:bookmarkStart w:id="630" w:name="_Toc158734104"/>
      <w:bookmarkEnd w:id="630"/>
      <w:bookmarkStart w:id="631" w:name="_Toc158721389"/>
      <w:bookmarkEnd w:id="631"/>
      <w:bookmarkStart w:id="632" w:name="_Toc158719555"/>
      <w:bookmarkEnd w:id="632"/>
      <w:bookmarkStart w:id="633" w:name="_Toc158720288"/>
      <w:bookmarkEnd w:id="633"/>
      <w:bookmarkStart w:id="634" w:name="_Toc158721393"/>
      <w:bookmarkEnd w:id="634"/>
      <w:bookmarkStart w:id="635" w:name="_Toc162359673"/>
      <w:bookmarkEnd w:id="635"/>
      <w:bookmarkStart w:id="636" w:name="_Toc158734106"/>
      <w:bookmarkEnd w:id="636"/>
      <w:bookmarkStart w:id="637" w:name="_Toc158721398"/>
      <w:bookmarkEnd w:id="637"/>
      <w:bookmarkStart w:id="638" w:name="_Toc158722862"/>
      <w:bookmarkEnd w:id="638"/>
      <w:bookmarkStart w:id="639" w:name="_Toc158719563"/>
      <w:bookmarkEnd w:id="639"/>
      <w:bookmarkStart w:id="640" w:name="_Toc162359676"/>
      <w:bookmarkEnd w:id="640"/>
      <w:bookmarkStart w:id="641" w:name="_Toc158721399"/>
      <w:bookmarkEnd w:id="641"/>
      <w:bookmarkStart w:id="642" w:name="_Toc158734108"/>
      <w:bookmarkEnd w:id="642"/>
      <w:bookmarkStart w:id="643" w:name="_Toc162361765"/>
      <w:bookmarkEnd w:id="643"/>
      <w:bookmarkStart w:id="644" w:name="_Toc158719564"/>
      <w:bookmarkEnd w:id="644"/>
      <w:bookmarkStart w:id="645" w:name="_Toc162359675"/>
      <w:bookmarkEnd w:id="645"/>
      <w:bookmarkStart w:id="646" w:name="_Toc158720293"/>
      <w:bookmarkEnd w:id="646"/>
      <w:bookmarkStart w:id="647" w:name="_Toc158722864"/>
      <w:bookmarkEnd w:id="647"/>
      <w:bookmarkStart w:id="648" w:name="_Toc158734110"/>
      <w:bookmarkEnd w:id="648"/>
      <w:bookmarkStart w:id="649" w:name="_Toc158722861"/>
      <w:bookmarkEnd w:id="649"/>
      <w:bookmarkStart w:id="650" w:name="_Toc158720292"/>
      <w:bookmarkEnd w:id="650"/>
      <w:bookmarkStart w:id="651" w:name="_Toc158719565"/>
      <w:bookmarkEnd w:id="651"/>
      <w:bookmarkStart w:id="652" w:name="_Toc158722130"/>
      <w:bookmarkEnd w:id="652"/>
      <w:bookmarkStart w:id="653" w:name="_Toc158721401"/>
      <w:bookmarkEnd w:id="653"/>
      <w:bookmarkStart w:id="654" w:name="_Toc158734111"/>
      <w:bookmarkEnd w:id="654"/>
      <w:bookmarkStart w:id="655" w:name="_Toc162359680"/>
      <w:bookmarkEnd w:id="655"/>
      <w:bookmarkStart w:id="656" w:name="_Toc158722135"/>
      <w:bookmarkEnd w:id="656"/>
      <w:bookmarkStart w:id="657" w:name="_Toc162361767"/>
      <w:bookmarkEnd w:id="657"/>
      <w:bookmarkStart w:id="658" w:name="_Toc158720296"/>
      <w:bookmarkEnd w:id="658"/>
      <w:bookmarkStart w:id="659" w:name="_Toc158719566"/>
      <w:bookmarkEnd w:id="659"/>
      <w:bookmarkStart w:id="660" w:name="_Toc158721397"/>
      <w:bookmarkEnd w:id="660"/>
      <w:bookmarkStart w:id="661" w:name="_Toc162359678"/>
      <w:bookmarkEnd w:id="661"/>
      <w:bookmarkStart w:id="662" w:name="_Toc158719561"/>
      <w:bookmarkEnd w:id="662"/>
      <w:bookmarkStart w:id="663" w:name="_Toc158720298"/>
      <w:bookmarkEnd w:id="663"/>
      <w:bookmarkStart w:id="664" w:name="_Toc158721402"/>
      <w:bookmarkEnd w:id="664"/>
      <w:bookmarkStart w:id="665" w:name="_Toc158721396"/>
      <w:bookmarkEnd w:id="665"/>
      <w:bookmarkStart w:id="666" w:name="_Toc158722866"/>
      <w:bookmarkEnd w:id="666"/>
      <w:bookmarkStart w:id="667" w:name="_Toc162359677"/>
      <w:bookmarkEnd w:id="667"/>
      <w:bookmarkStart w:id="668" w:name="_Toc162359679"/>
      <w:bookmarkEnd w:id="668"/>
      <w:bookmarkStart w:id="669" w:name="_Toc162361762"/>
      <w:bookmarkEnd w:id="669"/>
      <w:bookmarkStart w:id="670" w:name="_Toc158734112"/>
      <w:bookmarkEnd w:id="670"/>
      <w:bookmarkStart w:id="671" w:name="_Toc162361766"/>
      <w:bookmarkEnd w:id="671"/>
      <w:bookmarkStart w:id="672" w:name="_Toc158734109"/>
      <w:bookmarkEnd w:id="672"/>
      <w:bookmarkStart w:id="673" w:name="_Toc162359681"/>
      <w:bookmarkEnd w:id="673"/>
      <w:bookmarkStart w:id="674" w:name="_Toc162361768"/>
      <w:bookmarkEnd w:id="674"/>
      <w:bookmarkStart w:id="675" w:name="_Toc158719567"/>
      <w:bookmarkEnd w:id="675"/>
      <w:bookmarkStart w:id="676" w:name="_Toc158722131"/>
      <w:bookmarkEnd w:id="676"/>
      <w:bookmarkStart w:id="677" w:name="_Toc158720299"/>
      <w:bookmarkEnd w:id="677"/>
      <w:bookmarkStart w:id="678" w:name="_Toc158721403"/>
      <w:bookmarkEnd w:id="678"/>
      <w:bookmarkStart w:id="679" w:name="_Toc158722136"/>
      <w:bookmarkEnd w:id="679"/>
      <w:bookmarkStart w:id="680" w:name="_Toc158722137"/>
      <w:bookmarkEnd w:id="680"/>
      <w:bookmarkStart w:id="681" w:name="_Toc158722867"/>
      <w:bookmarkEnd w:id="681"/>
      <w:bookmarkStart w:id="682" w:name="_Toc158734113"/>
      <w:bookmarkEnd w:id="682"/>
      <w:bookmarkStart w:id="683" w:name="_Toc158720295"/>
      <w:bookmarkEnd w:id="683"/>
      <w:bookmarkStart w:id="684" w:name="_Toc158720297"/>
      <w:bookmarkEnd w:id="684"/>
      <w:bookmarkStart w:id="685" w:name="_Toc162359682"/>
      <w:bookmarkEnd w:id="685"/>
      <w:bookmarkStart w:id="686" w:name="_Toc158722865"/>
      <w:bookmarkEnd w:id="686"/>
      <w:bookmarkStart w:id="687" w:name="_Toc162361769"/>
      <w:bookmarkEnd w:id="687"/>
      <w:bookmarkStart w:id="688" w:name="_Toc158719568"/>
      <w:bookmarkEnd w:id="688"/>
      <w:bookmarkStart w:id="689" w:name="_Toc158721400"/>
      <w:bookmarkEnd w:id="689"/>
      <w:bookmarkStart w:id="690" w:name="_Toc158722860"/>
      <w:bookmarkEnd w:id="690"/>
      <w:bookmarkStart w:id="691" w:name="_Toc158734107"/>
      <w:bookmarkEnd w:id="691"/>
      <w:bookmarkStart w:id="692" w:name="_Toc162361764"/>
      <w:bookmarkEnd w:id="692"/>
      <w:bookmarkStart w:id="693" w:name="_Toc158722133"/>
      <w:bookmarkEnd w:id="693"/>
      <w:bookmarkStart w:id="694" w:name="_Toc158722863"/>
      <w:bookmarkEnd w:id="694"/>
      <w:bookmarkStart w:id="695" w:name="_Toc158722132"/>
      <w:bookmarkEnd w:id="695"/>
      <w:bookmarkStart w:id="696" w:name="_Toc158722134"/>
      <w:bookmarkEnd w:id="696"/>
      <w:bookmarkStart w:id="697" w:name="_Toc158720294"/>
      <w:bookmarkEnd w:id="697"/>
      <w:bookmarkStart w:id="698" w:name="_Toc158719562"/>
      <w:bookmarkEnd w:id="698"/>
      <w:bookmarkStart w:id="699" w:name="_Toc162361763"/>
      <w:bookmarkEnd w:id="699"/>
      <w:bookmarkStart w:id="700" w:name="_Toc158719575"/>
      <w:bookmarkEnd w:id="700"/>
      <w:bookmarkStart w:id="701" w:name="_Toc158720302"/>
      <w:bookmarkEnd w:id="701"/>
      <w:bookmarkStart w:id="702" w:name="_Toc158722872"/>
      <w:bookmarkEnd w:id="702"/>
      <w:bookmarkStart w:id="703" w:name="_Toc158722140"/>
      <w:bookmarkEnd w:id="703"/>
      <w:bookmarkStart w:id="704" w:name="_Toc162359685"/>
      <w:bookmarkEnd w:id="704"/>
      <w:bookmarkStart w:id="705" w:name="_Toc158722138"/>
      <w:bookmarkEnd w:id="705"/>
      <w:bookmarkStart w:id="706" w:name="_Toc158734118"/>
      <w:bookmarkEnd w:id="706"/>
      <w:bookmarkStart w:id="707" w:name="_Toc158734120"/>
      <w:bookmarkEnd w:id="707"/>
      <w:bookmarkStart w:id="708" w:name="_Toc158720307"/>
      <w:bookmarkEnd w:id="708"/>
      <w:bookmarkStart w:id="709" w:name="_Toc158722874"/>
      <w:bookmarkEnd w:id="709"/>
      <w:bookmarkStart w:id="710" w:name="_Toc158721411"/>
      <w:bookmarkEnd w:id="710"/>
      <w:bookmarkStart w:id="711" w:name="_Toc158722868"/>
      <w:bookmarkEnd w:id="711"/>
      <w:bookmarkStart w:id="712" w:name="_Toc158721407"/>
      <w:bookmarkEnd w:id="712"/>
      <w:bookmarkStart w:id="713" w:name="_Toc158722145"/>
      <w:bookmarkEnd w:id="713"/>
      <w:bookmarkStart w:id="714" w:name="_Toc158722875"/>
      <w:bookmarkEnd w:id="714"/>
      <w:bookmarkStart w:id="715" w:name="_Toc158720306"/>
      <w:bookmarkEnd w:id="715"/>
      <w:bookmarkStart w:id="716" w:name="_Toc158720300"/>
      <w:bookmarkEnd w:id="716"/>
      <w:bookmarkStart w:id="717" w:name="_Toc158721410"/>
      <w:bookmarkEnd w:id="717"/>
      <w:bookmarkStart w:id="718" w:name="_Toc158722144"/>
      <w:bookmarkEnd w:id="718"/>
      <w:bookmarkStart w:id="719" w:name="_Toc158734121"/>
      <w:bookmarkEnd w:id="719"/>
      <w:bookmarkStart w:id="720" w:name="_Toc162359690"/>
      <w:bookmarkEnd w:id="720"/>
      <w:bookmarkStart w:id="721" w:name="_Toc158722869"/>
      <w:bookmarkEnd w:id="721"/>
      <w:bookmarkStart w:id="722" w:name="_Toc162361777"/>
      <w:bookmarkEnd w:id="722"/>
      <w:bookmarkStart w:id="723" w:name="_Toc162361776"/>
      <w:bookmarkEnd w:id="723"/>
      <w:bookmarkStart w:id="724" w:name="_Toc158720303"/>
      <w:bookmarkEnd w:id="724"/>
      <w:bookmarkStart w:id="725" w:name="_Toc158719576"/>
      <w:bookmarkEnd w:id="725"/>
      <w:bookmarkStart w:id="726" w:name="_Toc158719569"/>
      <w:bookmarkEnd w:id="726"/>
      <w:bookmarkStart w:id="727" w:name="_Toc162361773"/>
      <w:bookmarkEnd w:id="727"/>
      <w:bookmarkStart w:id="728" w:name="_Toc158721406"/>
      <w:bookmarkEnd w:id="728"/>
      <w:bookmarkStart w:id="729" w:name="_Toc158721408"/>
      <w:bookmarkEnd w:id="729"/>
      <w:bookmarkStart w:id="730" w:name="_Toc162361771"/>
      <w:bookmarkEnd w:id="730"/>
      <w:bookmarkStart w:id="731" w:name="_Toc162359684"/>
      <w:bookmarkEnd w:id="731"/>
      <w:bookmarkStart w:id="732" w:name="_Toc162359687"/>
      <w:bookmarkEnd w:id="732"/>
      <w:bookmarkStart w:id="733" w:name="_Toc158734117"/>
      <w:bookmarkEnd w:id="733"/>
      <w:bookmarkStart w:id="734" w:name="_Toc162361774"/>
      <w:bookmarkEnd w:id="734"/>
      <w:bookmarkStart w:id="735" w:name="_Toc158719573"/>
      <w:bookmarkEnd w:id="735"/>
      <w:bookmarkStart w:id="736" w:name="_Toc158720301"/>
      <w:bookmarkEnd w:id="736"/>
      <w:bookmarkStart w:id="737" w:name="_Toc158720305"/>
      <w:bookmarkEnd w:id="737"/>
      <w:bookmarkStart w:id="738" w:name="_Toc158722870"/>
      <w:bookmarkEnd w:id="738"/>
      <w:bookmarkStart w:id="739" w:name="_Toc158719572"/>
      <w:bookmarkEnd w:id="739"/>
      <w:bookmarkStart w:id="740" w:name="_Toc158722873"/>
      <w:bookmarkEnd w:id="740"/>
      <w:bookmarkStart w:id="741" w:name="_Toc158721404"/>
      <w:bookmarkEnd w:id="741"/>
      <w:bookmarkStart w:id="742" w:name="_Toc158722139"/>
      <w:bookmarkEnd w:id="742"/>
      <w:bookmarkStart w:id="743" w:name="_Toc158720304"/>
      <w:bookmarkEnd w:id="743"/>
      <w:bookmarkStart w:id="744" w:name="_Toc158734114"/>
      <w:bookmarkEnd w:id="744"/>
      <w:bookmarkStart w:id="745" w:name="_Toc162361772"/>
      <w:bookmarkEnd w:id="745"/>
      <w:bookmarkStart w:id="746" w:name="_Toc158719571"/>
      <w:bookmarkEnd w:id="746"/>
      <w:bookmarkStart w:id="747" w:name="_Toc158722871"/>
      <w:bookmarkEnd w:id="747"/>
      <w:bookmarkStart w:id="748" w:name="_Toc162359686"/>
      <w:bookmarkEnd w:id="748"/>
      <w:bookmarkStart w:id="749" w:name="_Toc158722142"/>
      <w:bookmarkEnd w:id="749"/>
      <w:bookmarkStart w:id="750" w:name="_Toc158734119"/>
      <w:bookmarkEnd w:id="750"/>
      <w:bookmarkStart w:id="751" w:name="_Toc158722141"/>
      <w:bookmarkEnd w:id="751"/>
      <w:bookmarkStart w:id="752" w:name="_Toc158734116"/>
      <w:bookmarkEnd w:id="752"/>
      <w:bookmarkStart w:id="753" w:name="_Toc158719570"/>
      <w:bookmarkEnd w:id="753"/>
      <w:bookmarkStart w:id="754" w:name="_Toc162359683"/>
      <w:bookmarkEnd w:id="754"/>
      <w:bookmarkStart w:id="755" w:name="_Toc158722143"/>
      <w:bookmarkEnd w:id="755"/>
      <w:bookmarkStart w:id="756" w:name="_Toc162359688"/>
      <w:bookmarkEnd w:id="756"/>
      <w:bookmarkStart w:id="757" w:name="_Toc158721409"/>
      <w:bookmarkEnd w:id="757"/>
      <w:bookmarkStart w:id="758" w:name="_Toc162361775"/>
      <w:bookmarkEnd w:id="758"/>
      <w:bookmarkStart w:id="759" w:name="_Toc162361770"/>
      <w:bookmarkEnd w:id="759"/>
      <w:bookmarkStart w:id="760" w:name="_Toc158721405"/>
      <w:bookmarkEnd w:id="760"/>
      <w:bookmarkStart w:id="761" w:name="_Toc158734115"/>
      <w:bookmarkEnd w:id="761"/>
      <w:bookmarkStart w:id="762" w:name="_Toc158719574"/>
      <w:bookmarkEnd w:id="762"/>
      <w:bookmarkStart w:id="763" w:name="_Toc162359689"/>
      <w:bookmarkEnd w:id="763"/>
      <w:bookmarkStart w:id="764" w:name="_Toc162359691"/>
      <w:bookmarkEnd w:id="764"/>
      <w:bookmarkStart w:id="765" w:name="_Toc158722147"/>
      <w:bookmarkEnd w:id="765"/>
      <w:bookmarkStart w:id="766" w:name="_Toc158734125"/>
      <w:bookmarkEnd w:id="766"/>
      <w:bookmarkStart w:id="767" w:name="_Toc158721418"/>
      <w:bookmarkEnd w:id="767"/>
      <w:bookmarkStart w:id="768" w:name="_Toc158721412"/>
      <w:bookmarkEnd w:id="768"/>
      <w:bookmarkStart w:id="769" w:name="_Toc158722877"/>
      <w:bookmarkEnd w:id="769"/>
      <w:bookmarkStart w:id="770" w:name="_Toc158719579"/>
      <w:bookmarkEnd w:id="770"/>
      <w:bookmarkStart w:id="771" w:name="_Toc162361780"/>
      <w:bookmarkEnd w:id="771"/>
      <w:bookmarkStart w:id="772" w:name="_Toc158722880"/>
      <w:bookmarkEnd w:id="772"/>
      <w:bookmarkStart w:id="773" w:name="_Toc158722882"/>
      <w:bookmarkEnd w:id="773"/>
      <w:bookmarkStart w:id="774" w:name="_Toc158719578"/>
      <w:bookmarkEnd w:id="774"/>
      <w:bookmarkStart w:id="775" w:name="_Toc158734124"/>
      <w:bookmarkEnd w:id="775"/>
      <w:bookmarkStart w:id="776" w:name="_Toc158734126"/>
      <w:bookmarkEnd w:id="776"/>
      <w:bookmarkStart w:id="777" w:name="_Toc162361784"/>
      <w:bookmarkEnd w:id="777"/>
      <w:bookmarkStart w:id="778" w:name="_Toc162359693"/>
      <w:bookmarkEnd w:id="778"/>
      <w:bookmarkStart w:id="779" w:name="_Toc162361778"/>
      <w:bookmarkEnd w:id="779"/>
      <w:bookmarkStart w:id="780" w:name="_Toc158734123"/>
      <w:bookmarkEnd w:id="780"/>
      <w:bookmarkStart w:id="781" w:name="_Toc162359694"/>
      <w:bookmarkEnd w:id="781"/>
      <w:bookmarkStart w:id="782" w:name="_Toc162361781"/>
      <w:bookmarkEnd w:id="782"/>
      <w:bookmarkStart w:id="783" w:name="_Toc158721416"/>
      <w:bookmarkEnd w:id="783"/>
      <w:bookmarkStart w:id="784" w:name="_Toc158722878"/>
      <w:bookmarkEnd w:id="784"/>
      <w:bookmarkStart w:id="785" w:name="_Toc158720309"/>
      <w:bookmarkEnd w:id="785"/>
      <w:bookmarkStart w:id="786" w:name="_Toc158722148"/>
      <w:bookmarkEnd w:id="786"/>
      <w:bookmarkStart w:id="787" w:name="_Toc158734127"/>
      <w:bookmarkEnd w:id="787"/>
      <w:bookmarkStart w:id="788" w:name="_Toc158720308"/>
      <w:bookmarkEnd w:id="788"/>
      <w:bookmarkStart w:id="789" w:name="_Toc158722146"/>
      <w:bookmarkEnd w:id="789"/>
      <w:bookmarkStart w:id="790" w:name="_Toc158722876"/>
      <w:bookmarkEnd w:id="790"/>
      <w:bookmarkStart w:id="791" w:name="_Toc158721414"/>
      <w:bookmarkEnd w:id="791"/>
      <w:bookmarkStart w:id="792" w:name="_Toc158720313"/>
      <w:bookmarkEnd w:id="792"/>
      <w:bookmarkStart w:id="793" w:name="_Toc158722152"/>
      <w:bookmarkEnd w:id="793"/>
      <w:bookmarkStart w:id="794" w:name="_Toc158719580"/>
      <w:bookmarkEnd w:id="794"/>
      <w:bookmarkStart w:id="795" w:name="_Toc162361783"/>
      <w:bookmarkEnd w:id="795"/>
      <w:bookmarkStart w:id="796" w:name="_Toc158719582"/>
      <w:bookmarkEnd w:id="796"/>
      <w:bookmarkStart w:id="797" w:name="_Toc158722149"/>
      <w:bookmarkEnd w:id="797"/>
      <w:bookmarkStart w:id="798" w:name="_Toc158720312"/>
      <w:bookmarkEnd w:id="798"/>
      <w:bookmarkStart w:id="799" w:name="_Toc158722879"/>
      <w:bookmarkEnd w:id="799"/>
      <w:bookmarkStart w:id="800" w:name="_Toc158721417"/>
      <w:bookmarkEnd w:id="800"/>
      <w:bookmarkStart w:id="801" w:name="_Toc158721419"/>
      <w:bookmarkEnd w:id="801"/>
      <w:bookmarkStart w:id="802" w:name="_Toc158734128"/>
      <w:bookmarkEnd w:id="802"/>
      <w:bookmarkStart w:id="803" w:name="_Toc158722153"/>
      <w:bookmarkEnd w:id="803"/>
      <w:bookmarkStart w:id="804" w:name="_Toc158720310"/>
      <w:bookmarkEnd w:id="804"/>
      <w:bookmarkStart w:id="805" w:name="_Toc158722150"/>
      <w:bookmarkEnd w:id="805"/>
      <w:bookmarkStart w:id="806" w:name="_Toc158722881"/>
      <w:bookmarkEnd w:id="806"/>
      <w:bookmarkStart w:id="807" w:name="_Toc158720311"/>
      <w:bookmarkEnd w:id="807"/>
      <w:bookmarkStart w:id="808" w:name="_Toc162359695"/>
      <w:bookmarkEnd w:id="808"/>
      <w:bookmarkStart w:id="809" w:name="_Toc158719583"/>
      <w:bookmarkEnd w:id="809"/>
      <w:bookmarkStart w:id="810" w:name="_Toc158720315"/>
      <w:bookmarkEnd w:id="810"/>
      <w:bookmarkStart w:id="811" w:name="_Toc158734129"/>
      <w:bookmarkEnd w:id="811"/>
      <w:bookmarkStart w:id="812" w:name="_Toc162359698"/>
      <w:bookmarkEnd w:id="812"/>
      <w:bookmarkStart w:id="813" w:name="_Toc158719577"/>
      <w:bookmarkEnd w:id="813"/>
      <w:bookmarkStart w:id="814" w:name="_Toc162361779"/>
      <w:bookmarkEnd w:id="814"/>
      <w:bookmarkStart w:id="815" w:name="_Toc158721413"/>
      <w:bookmarkEnd w:id="815"/>
      <w:bookmarkStart w:id="816" w:name="_Toc162359697"/>
      <w:bookmarkEnd w:id="816"/>
      <w:bookmarkStart w:id="817" w:name="_Toc158720314"/>
      <w:bookmarkEnd w:id="817"/>
      <w:bookmarkStart w:id="818" w:name="_Toc162359692"/>
      <w:bookmarkEnd w:id="818"/>
      <w:bookmarkStart w:id="819" w:name="_Toc162361782"/>
      <w:bookmarkEnd w:id="819"/>
      <w:bookmarkStart w:id="820" w:name="_Toc158722883"/>
      <w:bookmarkEnd w:id="820"/>
      <w:bookmarkStart w:id="821" w:name="_Toc162361785"/>
      <w:bookmarkEnd w:id="821"/>
      <w:bookmarkStart w:id="822" w:name="_Toc158719584"/>
      <w:bookmarkEnd w:id="822"/>
      <w:bookmarkStart w:id="823" w:name="_Toc158721415"/>
      <w:bookmarkEnd w:id="823"/>
      <w:bookmarkStart w:id="824" w:name="_Toc158719581"/>
      <w:bookmarkEnd w:id="824"/>
      <w:bookmarkStart w:id="825" w:name="_Toc158722151"/>
      <w:bookmarkEnd w:id="825"/>
      <w:bookmarkStart w:id="826" w:name="_Toc162359696"/>
      <w:bookmarkEnd w:id="826"/>
      <w:bookmarkStart w:id="827" w:name="_Toc158734122"/>
      <w:bookmarkEnd w:id="827"/>
      <w:bookmarkStart w:id="828" w:name="_Toc158734130"/>
      <w:bookmarkEnd w:id="828"/>
      <w:bookmarkStart w:id="829" w:name="_Toc162359702"/>
      <w:bookmarkEnd w:id="829"/>
      <w:bookmarkStart w:id="830" w:name="_Toc162359699"/>
      <w:bookmarkEnd w:id="830"/>
      <w:bookmarkStart w:id="831" w:name="_Toc162359701"/>
      <w:bookmarkEnd w:id="831"/>
      <w:bookmarkStart w:id="832" w:name="_Toc158734132"/>
      <w:bookmarkEnd w:id="832"/>
      <w:bookmarkStart w:id="833" w:name="_Toc158721422"/>
      <w:bookmarkEnd w:id="833"/>
      <w:bookmarkStart w:id="834" w:name="_Toc158722156"/>
      <w:bookmarkEnd w:id="834"/>
      <w:bookmarkStart w:id="835" w:name="_Toc158722886"/>
      <w:bookmarkEnd w:id="835"/>
      <w:bookmarkStart w:id="836" w:name="_Toc158719587"/>
      <w:bookmarkEnd w:id="836"/>
      <w:bookmarkStart w:id="837" w:name="_Toc158722154"/>
      <w:bookmarkEnd w:id="837"/>
      <w:bookmarkStart w:id="838" w:name="_Toc162361786"/>
      <w:bookmarkEnd w:id="838"/>
      <w:bookmarkStart w:id="839" w:name="_Toc158720317"/>
      <w:bookmarkEnd w:id="839"/>
      <w:bookmarkStart w:id="840" w:name="_Toc158719585"/>
      <w:bookmarkEnd w:id="840"/>
      <w:bookmarkStart w:id="841" w:name="_Toc158721421"/>
      <w:bookmarkEnd w:id="841"/>
      <w:bookmarkStart w:id="842" w:name="_Toc162361789"/>
      <w:bookmarkEnd w:id="842"/>
      <w:bookmarkStart w:id="843" w:name="_Toc158720318"/>
      <w:bookmarkEnd w:id="843"/>
      <w:bookmarkStart w:id="844" w:name="_Toc162361788"/>
      <w:bookmarkEnd w:id="844"/>
      <w:bookmarkStart w:id="845" w:name="_Toc158722157"/>
      <w:bookmarkEnd w:id="845"/>
      <w:bookmarkStart w:id="846" w:name="_Toc158720316"/>
      <w:bookmarkEnd w:id="846"/>
      <w:bookmarkStart w:id="847" w:name="_Toc158734131"/>
      <w:bookmarkEnd w:id="847"/>
      <w:bookmarkStart w:id="848" w:name="_Toc162361787"/>
      <w:bookmarkEnd w:id="848"/>
      <w:bookmarkStart w:id="849" w:name="_Toc158719586"/>
      <w:bookmarkEnd w:id="849"/>
      <w:bookmarkStart w:id="850" w:name="_Toc158721420"/>
      <w:bookmarkEnd w:id="850"/>
      <w:bookmarkStart w:id="851" w:name="_Toc158722887"/>
      <w:bookmarkEnd w:id="851"/>
      <w:bookmarkStart w:id="852" w:name="_Toc158720319"/>
      <w:bookmarkEnd w:id="852"/>
      <w:bookmarkStart w:id="853" w:name="_Toc158722884"/>
      <w:bookmarkEnd w:id="853"/>
      <w:bookmarkStart w:id="854" w:name="_Toc162359700"/>
      <w:bookmarkEnd w:id="854"/>
      <w:bookmarkStart w:id="855" w:name="_Toc158734133"/>
      <w:bookmarkEnd w:id="855"/>
      <w:bookmarkStart w:id="856" w:name="_Toc158722885"/>
      <w:bookmarkEnd w:id="856"/>
      <w:bookmarkStart w:id="857" w:name="_Toc158721423"/>
      <w:bookmarkEnd w:id="857"/>
      <w:bookmarkStart w:id="858" w:name="_Toc158722155"/>
      <w:bookmarkEnd w:id="858"/>
      <w:bookmarkStart w:id="859" w:name="_Toc158721307"/>
      <w:bookmarkEnd w:id="859"/>
      <w:bookmarkStart w:id="860" w:name="_Toc162359586"/>
      <w:bookmarkEnd w:id="860"/>
      <w:bookmarkStart w:id="861" w:name="_Toc162361673"/>
      <w:bookmarkEnd w:id="861"/>
      <w:bookmarkStart w:id="862" w:name="_Toc158721308"/>
      <w:bookmarkEnd w:id="862"/>
      <w:bookmarkStart w:id="863" w:name="_Toc158722772"/>
      <w:bookmarkEnd w:id="863"/>
      <w:bookmarkStart w:id="864" w:name="_Toc158720203"/>
      <w:bookmarkEnd w:id="864"/>
      <w:bookmarkStart w:id="865" w:name="_Toc158720205"/>
      <w:bookmarkEnd w:id="865"/>
      <w:bookmarkStart w:id="866" w:name="_Toc158722042"/>
      <w:bookmarkEnd w:id="866"/>
      <w:bookmarkStart w:id="867" w:name="_Toc158722043"/>
      <w:bookmarkEnd w:id="867"/>
      <w:bookmarkStart w:id="868" w:name="_Toc158722773"/>
      <w:bookmarkEnd w:id="868"/>
      <w:bookmarkStart w:id="869" w:name="_Toc158734018"/>
      <w:bookmarkEnd w:id="869"/>
      <w:bookmarkStart w:id="870" w:name="_Toc158719471"/>
      <w:bookmarkEnd w:id="870"/>
      <w:bookmarkStart w:id="871" w:name="_Toc158722771"/>
      <w:bookmarkEnd w:id="871"/>
      <w:bookmarkStart w:id="872" w:name="_Toc158734017"/>
      <w:bookmarkEnd w:id="872"/>
      <w:bookmarkStart w:id="873" w:name="_Toc158720204"/>
      <w:bookmarkEnd w:id="873"/>
      <w:bookmarkStart w:id="874" w:name="_Toc158719472"/>
      <w:bookmarkEnd w:id="874"/>
      <w:bookmarkStart w:id="875" w:name="_Toc162359587"/>
      <w:bookmarkEnd w:id="875"/>
      <w:bookmarkStart w:id="876" w:name="_Toc162361674"/>
      <w:bookmarkEnd w:id="876"/>
      <w:bookmarkStart w:id="877" w:name="_Toc158722041"/>
      <w:bookmarkEnd w:id="877"/>
      <w:bookmarkStart w:id="878" w:name="_Toc158719473"/>
      <w:bookmarkEnd w:id="878"/>
      <w:bookmarkStart w:id="879" w:name="_Toc158721309"/>
      <w:bookmarkEnd w:id="879"/>
      <w:bookmarkStart w:id="880" w:name="_Toc158720212"/>
      <w:bookmarkEnd w:id="880"/>
      <w:bookmarkStart w:id="881" w:name="_Toc158719477"/>
      <w:bookmarkEnd w:id="881"/>
      <w:bookmarkStart w:id="882" w:name="_Toc158722049"/>
      <w:bookmarkEnd w:id="882"/>
      <w:bookmarkStart w:id="883" w:name="_Toc162359595"/>
      <w:bookmarkEnd w:id="883"/>
      <w:bookmarkStart w:id="884" w:name="_Toc158734021"/>
      <w:bookmarkEnd w:id="884"/>
      <w:bookmarkStart w:id="885" w:name="_Toc162361682"/>
      <w:bookmarkEnd w:id="885"/>
      <w:bookmarkStart w:id="886" w:name="_Toc158721311"/>
      <w:bookmarkEnd w:id="886"/>
      <w:bookmarkStart w:id="887" w:name="_Toc158734022"/>
      <w:bookmarkEnd w:id="887"/>
      <w:bookmarkStart w:id="888" w:name="_Toc158719478"/>
      <w:bookmarkEnd w:id="888"/>
      <w:bookmarkStart w:id="889" w:name="_Toc158722778"/>
      <w:bookmarkEnd w:id="889"/>
      <w:bookmarkStart w:id="890" w:name="_Toc158734020"/>
      <w:bookmarkEnd w:id="890"/>
      <w:bookmarkStart w:id="891" w:name="_Toc158721310"/>
      <w:bookmarkEnd w:id="891"/>
      <w:bookmarkStart w:id="892" w:name="_Toc158721312"/>
      <w:bookmarkEnd w:id="892"/>
      <w:bookmarkStart w:id="893" w:name="_Toc158720210"/>
      <w:bookmarkEnd w:id="893"/>
      <w:bookmarkStart w:id="894" w:name="_Toc158722044"/>
      <w:bookmarkEnd w:id="894"/>
      <w:bookmarkStart w:id="895" w:name="_Toc158721316"/>
      <w:bookmarkEnd w:id="895"/>
      <w:bookmarkStart w:id="896" w:name="_Toc162361678"/>
      <w:bookmarkEnd w:id="896"/>
      <w:bookmarkStart w:id="897" w:name="_Toc158719481"/>
      <w:bookmarkEnd w:id="897"/>
      <w:bookmarkStart w:id="898" w:name="_Toc158719474"/>
      <w:bookmarkEnd w:id="898"/>
      <w:bookmarkStart w:id="899" w:name="_Toc158720208"/>
      <w:bookmarkEnd w:id="899"/>
      <w:bookmarkStart w:id="900" w:name="_Toc158722777"/>
      <w:bookmarkEnd w:id="900"/>
      <w:bookmarkStart w:id="901" w:name="_Toc158734024"/>
      <w:bookmarkEnd w:id="901"/>
      <w:bookmarkStart w:id="902" w:name="_Toc158720213"/>
      <w:bookmarkEnd w:id="902"/>
      <w:bookmarkStart w:id="903" w:name="_Toc158722774"/>
      <w:bookmarkEnd w:id="903"/>
      <w:bookmarkStart w:id="904" w:name="_Toc162359592"/>
      <w:bookmarkEnd w:id="904"/>
      <w:bookmarkStart w:id="905" w:name="_Toc162361680"/>
      <w:bookmarkEnd w:id="905"/>
      <w:bookmarkStart w:id="906" w:name="_Toc158720207"/>
      <w:bookmarkEnd w:id="906"/>
      <w:bookmarkStart w:id="907" w:name="_Toc158721317"/>
      <w:bookmarkEnd w:id="907"/>
      <w:bookmarkStart w:id="908" w:name="_Toc158722051"/>
      <w:bookmarkEnd w:id="908"/>
      <w:bookmarkStart w:id="909" w:name="_Toc158722781"/>
      <w:bookmarkEnd w:id="909"/>
      <w:bookmarkStart w:id="910" w:name="_Toc158722775"/>
      <w:bookmarkEnd w:id="910"/>
      <w:bookmarkStart w:id="911" w:name="_Toc158722045"/>
      <w:bookmarkEnd w:id="911"/>
      <w:bookmarkStart w:id="912" w:name="_Toc162359590"/>
      <w:bookmarkEnd w:id="912"/>
      <w:bookmarkStart w:id="913" w:name="_Toc162361677"/>
      <w:bookmarkEnd w:id="913"/>
      <w:bookmarkStart w:id="914" w:name="_Toc158720209"/>
      <w:bookmarkEnd w:id="914"/>
      <w:bookmarkStart w:id="915" w:name="_Toc158722048"/>
      <w:bookmarkEnd w:id="915"/>
      <w:bookmarkStart w:id="916" w:name="_Toc162359593"/>
      <w:bookmarkEnd w:id="916"/>
      <w:bookmarkStart w:id="917" w:name="_Toc158734023"/>
      <w:bookmarkEnd w:id="917"/>
      <w:bookmarkStart w:id="918" w:name="_Toc162361679"/>
      <w:bookmarkEnd w:id="918"/>
      <w:bookmarkStart w:id="919" w:name="_Toc158721315"/>
      <w:bookmarkEnd w:id="919"/>
      <w:bookmarkStart w:id="920" w:name="_Toc158719476"/>
      <w:bookmarkEnd w:id="920"/>
      <w:bookmarkStart w:id="921" w:name="_Toc158734025"/>
      <w:bookmarkEnd w:id="921"/>
      <w:bookmarkStart w:id="922" w:name="_Toc158719475"/>
      <w:bookmarkEnd w:id="922"/>
      <w:bookmarkStart w:id="923" w:name="_Toc158719480"/>
      <w:bookmarkEnd w:id="923"/>
      <w:bookmarkStart w:id="924" w:name="_Toc158722050"/>
      <w:bookmarkEnd w:id="924"/>
      <w:bookmarkStart w:id="925" w:name="_Toc158720206"/>
      <w:bookmarkEnd w:id="925"/>
      <w:bookmarkStart w:id="926" w:name="_Toc158722780"/>
      <w:bookmarkEnd w:id="926"/>
      <w:bookmarkStart w:id="927" w:name="_Toc158734026"/>
      <w:bookmarkEnd w:id="927"/>
      <w:bookmarkStart w:id="928" w:name="_Toc158721313"/>
      <w:bookmarkEnd w:id="928"/>
      <w:bookmarkStart w:id="929" w:name="_Toc162359588"/>
      <w:bookmarkEnd w:id="929"/>
      <w:bookmarkStart w:id="930" w:name="_Toc162359594"/>
      <w:bookmarkEnd w:id="930"/>
      <w:bookmarkStart w:id="931" w:name="_Toc162359589"/>
      <w:bookmarkEnd w:id="931"/>
      <w:bookmarkStart w:id="932" w:name="_Toc162359591"/>
      <w:bookmarkEnd w:id="932"/>
      <w:bookmarkStart w:id="933" w:name="_Toc158719479"/>
      <w:bookmarkEnd w:id="933"/>
      <w:bookmarkStart w:id="934" w:name="_Toc162361681"/>
      <w:bookmarkEnd w:id="934"/>
      <w:bookmarkStart w:id="935" w:name="_Toc158734019"/>
      <w:bookmarkEnd w:id="935"/>
      <w:bookmarkStart w:id="936" w:name="_Toc158722047"/>
      <w:bookmarkEnd w:id="936"/>
      <w:bookmarkStart w:id="937" w:name="_Toc158721314"/>
      <w:bookmarkEnd w:id="937"/>
      <w:bookmarkStart w:id="938" w:name="_Toc158720211"/>
      <w:bookmarkEnd w:id="938"/>
      <w:bookmarkStart w:id="939" w:name="_Toc162361676"/>
      <w:bookmarkEnd w:id="939"/>
      <w:bookmarkStart w:id="940" w:name="_Toc158722046"/>
      <w:bookmarkEnd w:id="940"/>
      <w:bookmarkStart w:id="941" w:name="_Toc162361675"/>
      <w:bookmarkEnd w:id="941"/>
      <w:bookmarkStart w:id="942" w:name="_Toc158722776"/>
      <w:bookmarkEnd w:id="942"/>
      <w:bookmarkStart w:id="943" w:name="_Toc158722779"/>
      <w:bookmarkEnd w:id="943"/>
      <w:bookmarkStart w:id="944" w:name="_Toc158720215"/>
      <w:bookmarkEnd w:id="944"/>
      <w:bookmarkStart w:id="945" w:name="_Toc158722053"/>
      <w:bookmarkEnd w:id="945"/>
      <w:bookmarkStart w:id="946" w:name="_Toc162361685"/>
      <w:bookmarkEnd w:id="946"/>
      <w:bookmarkStart w:id="947" w:name="_Toc158720216"/>
      <w:bookmarkEnd w:id="947"/>
      <w:bookmarkStart w:id="948" w:name="_Toc162359599"/>
      <w:bookmarkEnd w:id="948"/>
      <w:bookmarkStart w:id="949" w:name="_Toc162361686"/>
      <w:bookmarkEnd w:id="949"/>
      <w:bookmarkStart w:id="950" w:name="_Toc158722783"/>
      <w:bookmarkEnd w:id="950"/>
      <w:bookmarkStart w:id="951" w:name="_Toc158720214"/>
      <w:bookmarkEnd w:id="951"/>
      <w:bookmarkStart w:id="952" w:name="_Toc158734028"/>
      <w:bookmarkEnd w:id="952"/>
      <w:bookmarkStart w:id="953" w:name="_Toc158722055"/>
      <w:bookmarkEnd w:id="953"/>
      <w:bookmarkStart w:id="954" w:name="_Toc162361687"/>
      <w:bookmarkEnd w:id="954"/>
      <w:bookmarkStart w:id="955" w:name="_Toc158720218"/>
      <w:bookmarkEnd w:id="955"/>
      <w:bookmarkStart w:id="956" w:name="_Toc158722785"/>
      <w:bookmarkEnd w:id="956"/>
      <w:bookmarkStart w:id="957" w:name="_Toc158734032"/>
      <w:bookmarkEnd w:id="957"/>
      <w:bookmarkStart w:id="958" w:name="_Toc162359601"/>
      <w:bookmarkEnd w:id="958"/>
      <w:bookmarkStart w:id="959" w:name="_Toc162361688"/>
      <w:bookmarkEnd w:id="959"/>
      <w:bookmarkStart w:id="960" w:name="_Toc158719487"/>
      <w:bookmarkEnd w:id="960"/>
      <w:bookmarkStart w:id="961" w:name="_Toc158720219"/>
      <w:bookmarkEnd w:id="961"/>
      <w:bookmarkStart w:id="962" w:name="_Toc158722057"/>
      <w:bookmarkEnd w:id="962"/>
      <w:bookmarkStart w:id="963" w:name="_Toc162359602"/>
      <w:bookmarkEnd w:id="963"/>
      <w:bookmarkStart w:id="964" w:name="_Toc158721322"/>
      <w:bookmarkEnd w:id="964"/>
      <w:bookmarkStart w:id="965" w:name="_Toc162361689"/>
      <w:bookmarkEnd w:id="965"/>
      <w:bookmarkStart w:id="966" w:name="_Toc158719482"/>
      <w:bookmarkEnd w:id="966"/>
      <w:bookmarkStart w:id="967" w:name="_Toc162359596"/>
      <w:bookmarkEnd w:id="967"/>
      <w:bookmarkStart w:id="968" w:name="_Toc158734030"/>
      <w:bookmarkEnd w:id="968"/>
      <w:bookmarkStart w:id="969" w:name="_Toc158719485"/>
      <w:bookmarkEnd w:id="969"/>
      <w:bookmarkStart w:id="970" w:name="_Toc158719488"/>
      <w:bookmarkEnd w:id="970"/>
      <w:bookmarkStart w:id="971" w:name="_Toc158722058"/>
      <w:bookmarkEnd w:id="971"/>
      <w:bookmarkStart w:id="972" w:name="_Toc158734034"/>
      <w:bookmarkEnd w:id="972"/>
      <w:bookmarkStart w:id="973" w:name="_Toc162359603"/>
      <w:bookmarkEnd w:id="973"/>
      <w:bookmarkStart w:id="974" w:name="_Toc158719489"/>
      <w:bookmarkEnd w:id="974"/>
      <w:bookmarkStart w:id="975" w:name="_Toc158734029"/>
      <w:bookmarkEnd w:id="975"/>
      <w:bookmarkStart w:id="976" w:name="_Toc158734031"/>
      <w:bookmarkEnd w:id="976"/>
      <w:bookmarkStart w:id="977" w:name="_Toc158722787"/>
      <w:bookmarkEnd w:id="977"/>
      <w:bookmarkStart w:id="978" w:name="_Toc158721324"/>
      <w:bookmarkEnd w:id="978"/>
      <w:bookmarkStart w:id="979" w:name="_Toc162359600"/>
      <w:bookmarkEnd w:id="979"/>
      <w:bookmarkStart w:id="980" w:name="_Toc162361683"/>
      <w:bookmarkEnd w:id="980"/>
      <w:bookmarkStart w:id="981" w:name="_Toc158722052"/>
      <w:bookmarkEnd w:id="981"/>
      <w:bookmarkStart w:id="982" w:name="_Toc158722784"/>
      <w:bookmarkEnd w:id="982"/>
      <w:bookmarkStart w:id="983" w:name="_Toc158734033"/>
      <w:bookmarkEnd w:id="983"/>
      <w:bookmarkStart w:id="984" w:name="_Toc158720221"/>
      <w:bookmarkEnd w:id="984"/>
      <w:bookmarkStart w:id="985" w:name="_Toc158722782"/>
      <w:bookmarkEnd w:id="985"/>
      <w:bookmarkStart w:id="986" w:name="_Toc158722788"/>
      <w:bookmarkEnd w:id="986"/>
      <w:bookmarkStart w:id="987" w:name="_Toc158721323"/>
      <w:bookmarkEnd w:id="987"/>
      <w:bookmarkStart w:id="988" w:name="_Toc162361690"/>
      <w:bookmarkEnd w:id="988"/>
      <w:bookmarkStart w:id="989" w:name="_Toc158720220"/>
      <w:bookmarkEnd w:id="989"/>
      <w:bookmarkStart w:id="990" w:name="_Toc158721325"/>
      <w:bookmarkEnd w:id="990"/>
      <w:bookmarkStart w:id="991" w:name="_Toc158719484"/>
      <w:bookmarkEnd w:id="991"/>
      <w:bookmarkStart w:id="992" w:name="_Toc158719486"/>
      <w:bookmarkEnd w:id="992"/>
      <w:bookmarkStart w:id="993" w:name="_Toc158734027"/>
      <w:bookmarkEnd w:id="993"/>
      <w:bookmarkStart w:id="994" w:name="_Toc158722056"/>
      <w:bookmarkEnd w:id="994"/>
      <w:bookmarkStart w:id="995" w:name="_Toc158722059"/>
      <w:bookmarkEnd w:id="995"/>
      <w:bookmarkStart w:id="996" w:name="_Toc158722789"/>
      <w:bookmarkEnd w:id="996"/>
      <w:bookmarkStart w:id="997" w:name="_Toc158721318"/>
      <w:bookmarkEnd w:id="997"/>
      <w:bookmarkStart w:id="998" w:name="_Toc158720217"/>
      <w:bookmarkEnd w:id="998"/>
      <w:bookmarkStart w:id="999" w:name="_Toc162359598"/>
      <w:bookmarkEnd w:id="999"/>
      <w:bookmarkStart w:id="1000" w:name="_Toc158721320"/>
      <w:bookmarkEnd w:id="1000"/>
      <w:bookmarkStart w:id="1001" w:name="_Toc158722054"/>
      <w:bookmarkEnd w:id="1001"/>
      <w:bookmarkStart w:id="1002" w:name="_Toc158721321"/>
      <w:bookmarkEnd w:id="1002"/>
      <w:bookmarkStart w:id="1003" w:name="_Toc158721319"/>
      <w:bookmarkEnd w:id="1003"/>
      <w:bookmarkStart w:id="1004" w:name="_Toc158722786"/>
      <w:bookmarkEnd w:id="1004"/>
      <w:bookmarkStart w:id="1005" w:name="_Toc158719483"/>
      <w:bookmarkEnd w:id="1005"/>
      <w:bookmarkStart w:id="1006" w:name="_Toc162361684"/>
      <w:bookmarkEnd w:id="1006"/>
      <w:bookmarkStart w:id="1007" w:name="_Toc162359597"/>
      <w:bookmarkEnd w:id="1007"/>
      <w:bookmarkStart w:id="1008" w:name="_Toc158734035"/>
      <w:bookmarkEnd w:id="1008"/>
      <w:bookmarkStart w:id="1009" w:name="_Toc158722060"/>
      <w:bookmarkEnd w:id="1009"/>
      <w:bookmarkStart w:id="1010" w:name="_Toc162359607"/>
      <w:bookmarkEnd w:id="1010"/>
      <w:bookmarkStart w:id="1011" w:name="_Toc158734036"/>
      <w:bookmarkEnd w:id="1011"/>
      <w:bookmarkStart w:id="1012" w:name="_Toc158719491"/>
      <w:bookmarkEnd w:id="1012"/>
      <w:bookmarkStart w:id="1013" w:name="_Toc162361694"/>
      <w:bookmarkEnd w:id="1013"/>
      <w:bookmarkStart w:id="1014" w:name="_Toc162359608"/>
      <w:bookmarkEnd w:id="1014"/>
      <w:bookmarkStart w:id="1015" w:name="_Toc158734039"/>
      <w:bookmarkEnd w:id="1015"/>
      <w:bookmarkStart w:id="1016" w:name="_Toc158722064"/>
      <w:bookmarkEnd w:id="1016"/>
      <w:bookmarkStart w:id="1017" w:name="_Toc158734040"/>
      <w:bookmarkEnd w:id="1017"/>
      <w:bookmarkStart w:id="1018" w:name="_Toc158721331"/>
      <w:bookmarkEnd w:id="1018"/>
      <w:bookmarkStart w:id="1019" w:name="_Toc158722791"/>
      <w:bookmarkEnd w:id="1019"/>
      <w:bookmarkStart w:id="1020" w:name="_Toc158722063"/>
      <w:bookmarkEnd w:id="1020"/>
      <w:bookmarkStart w:id="1021" w:name="_Toc158722065"/>
      <w:bookmarkEnd w:id="1021"/>
      <w:bookmarkStart w:id="1022" w:name="_Toc158722793"/>
      <w:bookmarkEnd w:id="1022"/>
      <w:bookmarkStart w:id="1023" w:name="_Toc158721332"/>
      <w:bookmarkEnd w:id="1023"/>
      <w:bookmarkStart w:id="1024" w:name="_Toc158719495"/>
      <w:bookmarkEnd w:id="1024"/>
      <w:bookmarkStart w:id="1025" w:name="_Toc158722794"/>
      <w:bookmarkEnd w:id="1025"/>
      <w:bookmarkStart w:id="1026" w:name="_Toc158719497"/>
      <w:bookmarkEnd w:id="1026"/>
      <w:bookmarkStart w:id="1027" w:name="_Toc158720229"/>
      <w:bookmarkEnd w:id="1027"/>
      <w:bookmarkStart w:id="1028" w:name="_Toc158721333"/>
      <w:bookmarkEnd w:id="1028"/>
      <w:bookmarkStart w:id="1029" w:name="_Toc162359604"/>
      <w:bookmarkEnd w:id="1029"/>
      <w:bookmarkStart w:id="1030" w:name="_Toc158722066"/>
      <w:bookmarkEnd w:id="1030"/>
      <w:bookmarkStart w:id="1031" w:name="_Toc158722067"/>
      <w:bookmarkEnd w:id="1031"/>
      <w:bookmarkStart w:id="1032" w:name="_Toc158722061"/>
      <w:bookmarkEnd w:id="1032"/>
      <w:bookmarkStart w:id="1033" w:name="_Toc158722797"/>
      <w:bookmarkEnd w:id="1033"/>
      <w:bookmarkStart w:id="1034" w:name="_Toc158720224"/>
      <w:bookmarkEnd w:id="1034"/>
      <w:bookmarkStart w:id="1035" w:name="_Toc158722792"/>
      <w:bookmarkEnd w:id="1035"/>
      <w:bookmarkStart w:id="1036" w:name="_Toc158722790"/>
      <w:bookmarkEnd w:id="1036"/>
      <w:bookmarkStart w:id="1037" w:name="_Toc158719493"/>
      <w:bookmarkEnd w:id="1037"/>
      <w:bookmarkStart w:id="1038" w:name="_Toc158720222"/>
      <w:bookmarkEnd w:id="1038"/>
      <w:bookmarkStart w:id="1039" w:name="_Toc158719490"/>
      <w:bookmarkEnd w:id="1039"/>
      <w:bookmarkStart w:id="1040" w:name="_Toc158720225"/>
      <w:bookmarkEnd w:id="1040"/>
      <w:bookmarkStart w:id="1041" w:name="_Toc162361693"/>
      <w:bookmarkEnd w:id="1041"/>
      <w:bookmarkStart w:id="1042" w:name="_Toc158721329"/>
      <w:bookmarkEnd w:id="1042"/>
      <w:bookmarkStart w:id="1043" w:name="_Toc158720226"/>
      <w:bookmarkEnd w:id="1043"/>
      <w:bookmarkStart w:id="1044" w:name="_Toc158721330"/>
      <w:bookmarkEnd w:id="1044"/>
      <w:bookmarkStart w:id="1045" w:name="_Toc162361696"/>
      <w:bookmarkEnd w:id="1045"/>
      <w:bookmarkStart w:id="1046" w:name="_Toc162359605"/>
      <w:bookmarkEnd w:id="1046"/>
      <w:bookmarkStart w:id="1047" w:name="_Toc158721328"/>
      <w:bookmarkEnd w:id="1047"/>
      <w:bookmarkStart w:id="1048" w:name="_Toc162361697"/>
      <w:bookmarkEnd w:id="1048"/>
      <w:bookmarkStart w:id="1049" w:name="_Toc158720227"/>
      <w:bookmarkEnd w:id="1049"/>
      <w:bookmarkStart w:id="1050" w:name="_Toc158719496"/>
      <w:bookmarkEnd w:id="1050"/>
      <w:bookmarkStart w:id="1051" w:name="_Toc158722062"/>
      <w:bookmarkEnd w:id="1051"/>
      <w:bookmarkStart w:id="1052" w:name="_Toc158720223"/>
      <w:bookmarkEnd w:id="1052"/>
      <w:bookmarkStart w:id="1053" w:name="_Toc158721327"/>
      <w:bookmarkEnd w:id="1053"/>
      <w:bookmarkStart w:id="1054" w:name="_Toc158719492"/>
      <w:bookmarkEnd w:id="1054"/>
      <w:bookmarkStart w:id="1055" w:name="_Toc162359606"/>
      <w:bookmarkEnd w:id="1055"/>
      <w:bookmarkStart w:id="1056" w:name="_Toc158734038"/>
      <w:bookmarkEnd w:id="1056"/>
      <w:bookmarkStart w:id="1057" w:name="_Toc162361695"/>
      <w:bookmarkEnd w:id="1057"/>
      <w:bookmarkStart w:id="1058" w:name="_Toc162359609"/>
      <w:bookmarkEnd w:id="1058"/>
      <w:bookmarkStart w:id="1059" w:name="_Toc158734037"/>
      <w:bookmarkEnd w:id="1059"/>
      <w:bookmarkStart w:id="1060" w:name="_Toc162361692"/>
      <w:bookmarkEnd w:id="1060"/>
      <w:bookmarkStart w:id="1061" w:name="_Toc158721326"/>
      <w:bookmarkEnd w:id="1061"/>
      <w:bookmarkStart w:id="1062" w:name="_Toc158722795"/>
      <w:bookmarkEnd w:id="1062"/>
      <w:bookmarkStart w:id="1063" w:name="_Toc158734041"/>
      <w:bookmarkEnd w:id="1063"/>
      <w:bookmarkStart w:id="1064" w:name="_Toc158720228"/>
      <w:bookmarkEnd w:id="1064"/>
      <w:bookmarkStart w:id="1065" w:name="_Toc158734042"/>
      <w:bookmarkEnd w:id="1065"/>
      <w:bookmarkStart w:id="1066" w:name="_Toc162359611"/>
      <w:bookmarkEnd w:id="1066"/>
      <w:bookmarkStart w:id="1067" w:name="_Toc162361691"/>
      <w:bookmarkEnd w:id="1067"/>
      <w:bookmarkStart w:id="1068" w:name="_Toc158719494"/>
      <w:bookmarkEnd w:id="1068"/>
      <w:bookmarkStart w:id="1069" w:name="_Toc162359610"/>
      <w:bookmarkEnd w:id="1069"/>
      <w:bookmarkStart w:id="1070" w:name="_Toc158722796"/>
      <w:bookmarkEnd w:id="1070"/>
      <w:bookmarkStart w:id="1071" w:name="_Toc162361698"/>
      <w:bookmarkEnd w:id="1071"/>
      <w:bookmarkStart w:id="1072" w:name="_Toc158734049"/>
      <w:bookmarkEnd w:id="1072"/>
      <w:bookmarkStart w:id="1073" w:name="_Toc158722069"/>
      <w:bookmarkEnd w:id="1073"/>
      <w:bookmarkStart w:id="1074" w:name="_Toc158722802"/>
      <w:bookmarkEnd w:id="1074"/>
      <w:bookmarkStart w:id="1075" w:name="_Toc158722799"/>
      <w:bookmarkEnd w:id="1075"/>
      <w:bookmarkStart w:id="1076" w:name="_Toc158734043"/>
      <w:bookmarkEnd w:id="1076"/>
      <w:bookmarkStart w:id="1077" w:name="_Toc158720235"/>
      <w:bookmarkEnd w:id="1077"/>
      <w:bookmarkStart w:id="1078" w:name="_Toc158722801"/>
      <w:bookmarkEnd w:id="1078"/>
      <w:bookmarkStart w:id="1079" w:name="_Toc158721340"/>
      <w:bookmarkEnd w:id="1079"/>
      <w:bookmarkStart w:id="1080" w:name="_Toc158720237"/>
      <w:bookmarkEnd w:id="1080"/>
      <w:bookmarkStart w:id="1081" w:name="_Toc158722071"/>
      <w:bookmarkEnd w:id="1081"/>
      <w:bookmarkStart w:id="1082" w:name="_Toc158722804"/>
      <w:bookmarkEnd w:id="1082"/>
      <w:bookmarkStart w:id="1083" w:name="_Toc158720230"/>
      <w:bookmarkEnd w:id="1083"/>
      <w:bookmarkStart w:id="1084" w:name="_Toc158721341"/>
      <w:bookmarkEnd w:id="1084"/>
      <w:bookmarkStart w:id="1085" w:name="_Toc158722075"/>
      <w:bookmarkEnd w:id="1085"/>
      <w:bookmarkStart w:id="1086" w:name="_Toc158722805"/>
      <w:bookmarkEnd w:id="1086"/>
      <w:bookmarkStart w:id="1087" w:name="_Toc158719501"/>
      <w:bookmarkEnd w:id="1087"/>
      <w:bookmarkStart w:id="1088" w:name="_Toc158720233"/>
      <w:bookmarkEnd w:id="1088"/>
      <w:bookmarkStart w:id="1089" w:name="_Toc158721337"/>
      <w:bookmarkEnd w:id="1089"/>
      <w:bookmarkStart w:id="1090" w:name="_Toc162359617"/>
      <w:bookmarkEnd w:id="1090"/>
      <w:bookmarkStart w:id="1091" w:name="_Toc162359618"/>
      <w:bookmarkEnd w:id="1091"/>
      <w:bookmarkStart w:id="1092" w:name="_Toc158722074"/>
      <w:bookmarkEnd w:id="1092"/>
      <w:bookmarkStart w:id="1093" w:name="_Toc158719504"/>
      <w:bookmarkEnd w:id="1093"/>
      <w:bookmarkStart w:id="1094" w:name="_Toc162361706"/>
      <w:bookmarkEnd w:id="1094"/>
      <w:bookmarkStart w:id="1095" w:name="_Toc162359616"/>
      <w:bookmarkEnd w:id="1095"/>
      <w:bookmarkStart w:id="1096" w:name="_Toc158719498"/>
      <w:bookmarkEnd w:id="1096"/>
      <w:bookmarkStart w:id="1097" w:name="_Toc158719503"/>
      <w:bookmarkEnd w:id="1097"/>
      <w:bookmarkStart w:id="1098" w:name="_Toc162359613"/>
      <w:bookmarkEnd w:id="1098"/>
      <w:bookmarkStart w:id="1099" w:name="_Toc158720231"/>
      <w:bookmarkEnd w:id="1099"/>
      <w:bookmarkStart w:id="1100" w:name="_Toc158734045"/>
      <w:bookmarkEnd w:id="1100"/>
      <w:bookmarkStart w:id="1101" w:name="_Toc162359614"/>
      <w:bookmarkEnd w:id="1101"/>
      <w:bookmarkStart w:id="1102" w:name="_Toc162361701"/>
      <w:bookmarkEnd w:id="1102"/>
      <w:bookmarkStart w:id="1103" w:name="_Toc158719500"/>
      <w:bookmarkEnd w:id="1103"/>
      <w:bookmarkStart w:id="1104" w:name="_Toc162361702"/>
      <w:bookmarkEnd w:id="1104"/>
      <w:bookmarkStart w:id="1105" w:name="_Toc158722798"/>
      <w:bookmarkEnd w:id="1105"/>
      <w:bookmarkStart w:id="1106" w:name="_Toc158734047"/>
      <w:bookmarkEnd w:id="1106"/>
      <w:bookmarkStart w:id="1107" w:name="_Toc158734048"/>
      <w:bookmarkEnd w:id="1107"/>
      <w:bookmarkStart w:id="1108" w:name="_Toc158720234"/>
      <w:bookmarkEnd w:id="1108"/>
      <w:bookmarkStart w:id="1109" w:name="_Toc162361704"/>
      <w:bookmarkEnd w:id="1109"/>
      <w:bookmarkStart w:id="1110" w:name="_Toc158721339"/>
      <w:bookmarkEnd w:id="1110"/>
      <w:bookmarkStart w:id="1111" w:name="_Toc162361700"/>
      <w:bookmarkEnd w:id="1111"/>
      <w:bookmarkStart w:id="1112" w:name="_Toc158722070"/>
      <w:bookmarkEnd w:id="1112"/>
      <w:bookmarkStart w:id="1113" w:name="_Toc158734046"/>
      <w:bookmarkEnd w:id="1113"/>
      <w:bookmarkStart w:id="1114" w:name="_Toc162359615"/>
      <w:bookmarkEnd w:id="1114"/>
      <w:bookmarkStart w:id="1115" w:name="_Toc158719499"/>
      <w:bookmarkEnd w:id="1115"/>
      <w:bookmarkStart w:id="1116" w:name="_Toc162359612"/>
      <w:bookmarkEnd w:id="1116"/>
      <w:bookmarkStart w:id="1117" w:name="_Toc162361699"/>
      <w:bookmarkEnd w:id="1117"/>
      <w:bookmarkStart w:id="1118" w:name="_Toc158734044"/>
      <w:bookmarkEnd w:id="1118"/>
      <w:bookmarkStart w:id="1119" w:name="_Toc158722068"/>
      <w:bookmarkEnd w:id="1119"/>
      <w:bookmarkStart w:id="1120" w:name="_Toc158721335"/>
      <w:bookmarkEnd w:id="1120"/>
      <w:bookmarkStart w:id="1121" w:name="_Toc158722800"/>
      <w:bookmarkEnd w:id="1121"/>
      <w:bookmarkStart w:id="1122" w:name="_Toc162361703"/>
      <w:bookmarkEnd w:id="1122"/>
      <w:bookmarkStart w:id="1123" w:name="_Toc158721334"/>
      <w:bookmarkEnd w:id="1123"/>
      <w:bookmarkStart w:id="1124" w:name="_Toc158721336"/>
      <w:bookmarkEnd w:id="1124"/>
      <w:bookmarkStart w:id="1125" w:name="_Toc158721338"/>
      <w:bookmarkEnd w:id="1125"/>
      <w:bookmarkStart w:id="1126" w:name="_Toc158722072"/>
      <w:bookmarkEnd w:id="1126"/>
      <w:bookmarkStart w:id="1127" w:name="_Toc158722073"/>
      <w:bookmarkEnd w:id="1127"/>
      <w:bookmarkStart w:id="1128" w:name="_Toc158719502"/>
      <w:bookmarkEnd w:id="1128"/>
      <w:bookmarkStart w:id="1129" w:name="_Toc158720232"/>
      <w:bookmarkEnd w:id="1129"/>
      <w:bookmarkStart w:id="1130" w:name="_Toc162361705"/>
      <w:bookmarkEnd w:id="1130"/>
      <w:bookmarkStart w:id="1131" w:name="_Toc158720236"/>
      <w:bookmarkEnd w:id="1131"/>
      <w:bookmarkStart w:id="1132" w:name="_Toc158734050"/>
      <w:bookmarkEnd w:id="1132"/>
      <w:bookmarkStart w:id="1133" w:name="_Toc162359619"/>
      <w:bookmarkEnd w:id="1133"/>
      <w:bookmarkStart w:id="1134" w:name="_Toc158719505"/>
      <w:bookmarkEnd w:id="1134"/>
      <w:bookmarkStart w:id="1135" w:name="_Toc158722803"/>
      <w:bookmarkEnd w:id="1135"/>
      <w:bookmarkStart w:id="1136" w:name="_Toc158720238"/>
      <w:bookmarkEnd w:id="1136"/>
      <w:bookmarkStart w:id="1137" w:name="_Toc162361708"/>
      <w:bookmarkEnd w:id="1137"/>
      <w:bookmarkStart w:id="1138" w:name="_Toc158721345"/>
      <w:bookmarkEnd w:id="1138"/>
      <w:bookmarkStart w:id="1139" w:name="_Toc158720239"/>
      <w:bookmarkEnd w:id="1139"/>
      <w:bookmarkStart w:id="1140" w:name="_Toc158722807"/>
      <w:bookmarkEnd w:id="1140"/>
      <w:bookmarkStart w:id="1141" w:name="_Toc158722079"/>
      <w:bookmarkEnd w:id="1141"/>
      <w:bookmarkStart w:id="1142" w:name="_Toc158722081"/>
      <w:bookmarkEnd w:id="1142"/>
      <w:bookmarkStart w:id="1143" w:name="_Toc158721348"/>
      <w:bookmarkEnd w:id="1143"/>
      <w:bookmarkStart w:id="1144" w:name="_Toc158722082"/>
      <w:bookmarkEnd w:id="1144"/>
      <w:bookmarkStart w:id="1145" w:name="_Toc158721347"/>
      <w:bookmarkEnd w:id="1145"/>
      <w:bookmarkStart w:id="1146" w:name="_Toc158722812"/>
      <w:bookmarkEnd w:id="1146"/>
      <w:bookmarkStart w:id="1147" w:name="_Toc158719508"/>
      <w:bookmarkEnd w:id="1147"/>
      <w:bookmarkStart w:id="1148" w:name="_Toc162359627"/>
      <w:bookmarkEnd w:id="1148"/>
      <w:bookmarkStart w:id="1149" w:name="_Toc158719513"/>
      <w:bookmarkEnd w:id="1149"/>
      <w:bookmarkStart w:id="1150" w:name="_Toc158720245"/>
      <w:bookmarkEnd w:id="1150"/>
      <w:bookmarkStart w:id="1151" w:name="_Toc162361712"/>
      <w:bookmarkEnd w:id="1151"/>
      <w:bookmarkStart w:id="1152" w:name="_Toc158719511"/>
      <w:bookmarkEnd w:id="1152"/>
      <w:bookmarkStart w:id="1153" w:name="_Toc158720243"/>
      <w:bookmarkEnd w:id="1153"/>
      <w:bookmarkStart w:id="1154" w:name="_Toc158734058"/>
      <w:bookmarkEnd w:id="1154"/>
      <w:bookmarkStart w:id="1155" w:name="_Toc158721349"/>
      <w:bookmarkEnd w:id="1155"/>
      <w:bookmarkStart w:id="1156" w:name="_Toc158722083"/>
      <w:bookmarkEnd w:id="1156"/>
      <w:bookmarkStart w:id="1157" w:name="_Toc158721342"/>
      <w:bookmarkEnd w:id="1157"/>
      <w:bookmarkStart w:id="1158" w:name="_Toc158722813"/>
      <w:bookmarkEnd w:id="1158"/>
      <w:bookmarkStart w:id="1159" w:name="_Toc158734057"/>
      <w:bookmarkEnd w:id="1159"/>
      <w:bookmarkStart w:id="1160" w:name="_Toc162361709"/>
      <w:bookmarkEnd w:id="1160"/>
      <w:bookmarkStart w:id="1161" w:name="_Toc162361714"/>
      <w:bookmarkEnd w:id="1161"/>
      <w:bookmarkStart w:id="1162" w:name="_Toc162359620"/>
      <w:bookmarkEnd w:id="1162"/>
      <w:bookmarkStart w:id="1163" w:name="_Toc158734054"/>
      <w:bookmarkEnd w:id="1163"/>
      <w:bookmarkStart w:id="1164" w:name="_Toc158719507"/>
      <w:bookmarkEnd w:id="1164"/>
      <w:bookmarkStart w:id="1165" w:name="_Toc158719509"/>
      <w:bookmarkEnd w:id="1165"/>
      <w:bookmarkStart w:id="1166" w:name="_Toc158734052"/>
      <w:bookmarkEnd w:id="1166"/>
      <w:bookmarkStart w:id="1167" w:name="_Toc158722806"/>
      <w:bookmarkEnd w:id="1167"/>
      <w:bookmarkStart w:id="1168" w:name="_Toc158722809"/>
      <w:bookmarkEnd w:id="1168"/>
      <w:bookmarkStart w:id="1169" w:name="_Toc158722078"/>
      <w:bookmarkEnd w:id="1169"/>
      <w:bookmarkStart w:id="1170" w:name="_Toc158734055"/>
      <w:bookmarkEnd w:id="1170"/>
      <w:bookmarkStart w:id="1171" w:name="_Toc162359624"/>
      <w:bookmarkEnd w:id="1171"/>
      <w:bookmarkStart w:id="1172" w:name="_Toc162361711"/>
      <w:bookmarkEnd w:id="1172"/>
      <w:bookmarkStart w:id="1173" w:name="_Toc162359625"/>
      <w:bookmarkEnd w:id="1173"/>
      <w:bookmarkStart w:id="1174" w:name="_Toc158721343"/>
      <w:bookmarkEnd w:id="1174"/>
      <w:bookmarkStart w:id="1175" w:name="_Toc162359623"/>
      <w:bookmarkEnd w:id="1175"/>
      <w:bookmarkStart w:id="1176" w:name="_Toc158721346"/>
      <w:bookmarkEnd w:id="1176"/>
      <w:bookmarkStart w:id="1177" w:name="_Toc158722810"/>
      <w:bookmarkEnd w:id="1177"/>
      <w:bookmarkStart w:id="1178" w:name="_Toc162361707"/>
      <w:bookmarkEnd w:id="1178"/>
      <w:bookmarkStart w:id="1179" w:name="_Toc162361710"/>
      <w:bookmarkEnd w:id="1179"/>
      <w:bookmarkStart w:id="1180" w:name="_Toc158734053"/>
      <w:bookmarkEnd w:id="1180"/>
      <w:bookmarkStart w:id="1181" w:name="_Toc162359622"/>
      <w:bookmarkEnd w:id="1181"/>
      <w:bookmarkStart w:id="1182" w:name="_Toc158722808"/>
      <w:bookmarkEnd w:id="1182"/>
      <w:bookmarkStart w:id="1183" w:name="_Toc158721344"/>
      <w:bookmarkEnd w:id="1183"/>
      <w:bookmarkStart w:id="1184" w:name="_Toc158719506"/>
      <w:bookmarkEnd w:id="1184"/>
      <w:bookmarkStart w:id="1185" w:name="_Toc158720241"/>
      <w:bookmarkEnd w:id="1185"/>
      <w:bookmarkStart w:id="1186" w:name="_Toc158722080"/>
      <w:bookmarkEnd w:id="1186"/>
      <w:bookmarkStart w:id="1187" w:name="_Toc158720240"/>
      <w:bookmarkEnd w:id="1187"/>
      <w:bookmarkStart w:id="1188" w:name="_Toc158722077"/>
      <w:bookmarkEnd w:id="1188"/>
      <w:bookmarkStart w:id="1189" w:name="_Toc162359621"/>
      <w:bookmarkEnd w:id="1189"/>
      <w:bookmarkStart w:id="1190" w:name="_Toc158720242"/>
      <w:bookmarkEnd w:id="1190"/>
      <w:bookmarkStart w:id="1191" w:name="_Toc158734056"/>
      <w:bookmarkEnd w:id="1191"/>
      <w:bookmarkStart w:id="1192" w:name="_Toc158722811"/>
      <w:bookmarkEnd w:id="1192"/>
      <w:bookmarkStart w:id="1193" w:name="_Toc158719510"/>
      <w:bookmarkEnd w:id="1193"/>
      <w:bookmarkStart w:id="1194" w:name="_Toc162359626"/>
      <w:bookmarkEnd w:id="1194"/>
      <w:bookmarkStart w:id="1195" w:name="_Toc158734051"/>
      <w:bookmarkEnd w:id="1195"/>
      <w:bookmarkStart w:id="1196" w:name="_Toc158722076"/>
      <w:bookmarkEnd w:id="1196"/>
      <w:bookmarkStart w:id="1197" w:name="_Toc162361713"/>
      <w:bookmarkEnd w:id="1197"/>
      <w:bookmarkStart w:id="1198" w:name="_Toc158719512"/>
      <w:bookmarkEnd w:id="1198"/>
      <w:bookmarkStart w:id="1199" w:name="_Toc158720244"/>
      <w:bookmarkEnd w:id="1199"/>
      <w:bookmarkStart w:id="1200" w:name="_Toc158719516"/>
      <w:bookmarkEnd w:id="1200"/>
      <w:bookmarkStart w:id="1201" w:name="_Toc158720246"/>
      <w:bookmarkEnd w:id="1201"/>
      <w:bookmarkStart w:id="1202" w:name="_Toc158722817"/>
      <w:bookmarkEnd w:id="1202"/>
      <w:bookmarkStart w:id="1203" w:name="_Toc158734063"/>
      <w:bookmarkEnd w:id="1203"/>
      <w:bookmarkStart w:id="1204" w:name="_Toc158721350"/>
      <w:bookmarkEnd w:id="1204"/>
      <w:bookmarkStart w:id="1205" w:name="_Toc158720249"/>
      <w:bookmarkEnd w:id="1205"/>
      <w:bookmarkStart w:id="1206" w:name="_Toc162361719"/>
      <w:bookmarkEnd w:id="1206"/>
      <w:bookmarkStart w:id="1207" w:name="_Toc158719518"/>
      <w:bookmarkEnd w:id="1207"/>
      <w:bookmarkStart w:id="1208" w:name="_Toc158722088"/>
      <w:bookmarkEnd w:id="1208"/>
      <w:bookmarkStart w:id="1209" w:name="_Toc158720248"/>
      <w:bookmarkEnd w:id="1209"/>
      <w:bookmarkStart w:id="1210" w:name="_Toc158722816"/>
      <w:bookmarkEnd w:id="1210"/>
      <w:bookmarkStart w:id="1211" w:name="_Toc158720247"/>
      <w:bookmarkEnd w:id="1211"/>
      <w:bookmarkStart w:id="1212" w:name="_Toc158734064"/>
      <w:bookmarkEnd w:id="1212"/>
      <w:bookmarkStart w:id="1213" w:name="_Toc162361718"/>
      <w:bookmarkEnd w:id="1213"/>
      <w:bookmarkStart w:id="1214" w:name="_Toc158722815"/>
      <w:bookmarkEnd w:id="1214"/>
      <w:bookmarkStart w:id="1215" w:name="_Toc158734059"/>
      <w:bookmarkEnd w:id="1215"/>
      <w:bookmarkStart w:id="1216" w:name="_Toc158722084"/>
      <w:bookmarkEnd w:id="1216"/>
      <w:bookmarkStart w:id="1217" w:name="_Toc162361716"/>
      <w:bookmarkEnd w:id="1217"/>
      <w:bookmarkStart w:id="1218" w:name="_Toc162359630"/>
      <w:bookmarkEnd w:id="1218"/>
      <w:bookmarkStart w:id="1219" w:name="_Toc158721355"/>
      <w:bookmarkEnd w:id="1219"/>
      <w:bookmarkStart w:id="1220" w:name="_Toc158722089"/>
      <w:bookmarkEnd w:id="1220"/>
      <w:bookmarkStart w:id="1221" w:name="_Toc162361715"/>
      <w:bookmarkEnd w:id="1221"/>
      <w:bookmarkStart w:id="1222" w:name="_Toc158722819"/>
      <w:bookmarkEnd w:id="1222"/>
      <w:bookmarkStart w:id="1223" w:name="_Toc158719515"/>
      <w:bookmarkEnd w:id="1223"/>
      <w:bookmarkStart w:id="1224" w:name="_Toc158734062"/>
      <w:bookmarkEnd w:id="1224"/>
      <w:bookmarkStart w:id="1225" w:name="_Toc158720251"/>
      <w:bookmarkEnd w:id="1225"/>
      <w:bookmarkStart w:id="1226" w:name="_Toc158722086"/>
      <w:bookmarkEnd w:id="1226"/>
      <w:bookmarkStart w:id="1227" w:name="_Toc162359634"/>
      <w:bookmarkEnd w:id="1227"/>
      <w:bookmarkStart w:id="1228" w:name="_Toc162361721"/>
      <w:bookmarkEnd w:id="1228"/>
      <w:bookmarkStart w:id="1229" w:name="_Toc158734061"/>
      <w:bookmarkEnd w:id="1229"/>
      <w:bookmarkStart w:id="1230" w:name="_Toc158719520"/>
      <w:bookmarkEnd w:id="1230"/>
      <w:bookmarkStart w:id="1231" w:name="_Toc158720250"/>
      <w:bookmarkEnd w:id="1231"/>
      <w:bookmarkStart w:id="1232" w:name="_Toc158720252"/>
      <w:bookmarkEnd w:id="1232"/>
      <w:bookmarkStart w:id="1233" w:name="_Toc158721352"/>
      <w:bookmarkEnd w:id="1233"/>
      <w:bookmarkStart w:id="1234" w:name="_Toc158722090"/>
      <w:bookmarkEnd w:id="1234"/>
      <w:bookmarkStart w:id="1235" w:name="_Toc158722085"/>
      <w:bookmarkEnd w:id="1235"/>
      <w:bookmarkStart w:id="1236" w:name="_Toc158719519"/>
      <w:bookmarkEnd w:id="1236"/>
      <w:bookmarkStart w:id="1237" w:name="_Toc158721356"/>
      <w:bookmarkEnd w:id="1237"/>
      <w:bookmarkStart w:id="1238" w:name="_Toc158734066"/>
      <w:bookmarkEnd w:id="1238"/>
      <w:bookmarkStart w:id="1239" w:name="_Toc162359635"/>
      <w:bookmarkEnd w:id="1239"/>
      <w:bookmarkStart w:id="1240" w:name="_Toc162359631"/>
      <w:bookmarkEnd w:id="1240"/>
      <w:bookmarkStart w:id="1241" w:name="_Toc158719521"/>
      <w:bookmarkEnd w:id="1241"/>
      <w:bookmarkStart w:id="1242" w:name="_Toc162359629"/>
      <w:bookmarkEnd w:id="1242"/>
      <w:bookmarkStart w:id="1243" w:name="_Toc158720253"/>
      <w:bookmarkEnd w:id="1243"/>
      <w:bookmarkStart w:id="1244" w:name="_Toc158721357"/>
      <w:bookmarkEnd w:id="1244"/>
      <w:bookmarkStart w:id="1245" w:name="_Toc158722091"/>
      <w:bookmarkEnd w:id="1245"/>
      <w:bookmarkStart w:id="1246" w:name="_Toc158722821"/>
      <w:bookmarkEnd w:id="1246"/>
      <w:bookmarkStart w:id="1247" w:name="_Toc158722818"/>
      <w:bookmarkEnd w:id="1247"/>
      <w:bookmarkStart w:id="1248" w:name="_Toc158722820"/>
      <w:bookmarkEnd w:id="1248"/>
      <w:bookmarkStart w:id="1249" w:name="_Toc162359628"/>
      <w:bookmarkEnd w:id="1249"/>
      <w:bookmarkStart w:id="1250" w:name="_Toc158734060"/>
      <w:bookmarkEnd w:id="1250"/>
      <w:bookmarkStart w:id="1251" w:name="_Toc158719514"/>
      <w:bookmarkEnd w:id="1251"/>
      <w:bookmarkStart w:id="1252" w:name="_Toc162361722"/>
      <w:bookmarkEnd w:id="1252"/>
      <w:bookmarkStart w:id="1253" w:name="_Toc158734065"/>
      <w:bookmarkEnd w:id="1253"/>
      <w:bookmarkStart w:id="1254" w:name="_Toc158722814"/>
      <w:bookmarkEnd w:id="1254"/>
      <w:bookmarkStart w:id="1255" w:name="_Toc162361717"/>
      <w:bookmarkEnd w:id="1255"/>
      <w:bookmarkStart w:id="1256" w:name="_Toc158719517"/>
      <w:bookmarkEnd w:id="1256"/>
      <w:bookmarkStart w:id="1257" w:name="_Toc158721354"/>
      <w:bookmarkEnd w:id="1257"/>
      <w:bookmarkStart w:id="1258" w:name="_Toc162359633"/>
      <w:bookmarkEnd w:id="1258"/>
      <w:bookmarkStart w:id="1259" w:name="_Toc162359632"/>
      <w:bookmarkEnd w:id="1259"/>
      <w:bookmarkStart w:id="1260" w:name="_Toc162361720"/>
      <w:bookmarkEnd w:id="1260"/>
      <w:bookmarkStart w:id="1261" w:name="_Toc158721351"/>
      <w:bookmarkEnd w:id="1261"/>
      <w:bookmarkStart w:id="1262" w:name="_Toc158722087"/>
      <w:bookmarkEnd w:id="1262"/>
      <w:bookmarkStart w:id="1263" w:name="_Toc158721353"/>
      <w:bookmarkEnd w:id="1263"/>
      <w:bookmarkStart w:id="1264" w:name="_Toc158721358"/>
      <w:bookmarkEnd w:id="1264"/>
      <w:bookmarkStart w:id="1265" w:name="_Toc158720256"/>
      <w:bookmarkEnd w:id="1265"/>
      <w:bookmarkStart w:id="1266" w:name="_Toc162361726"/>
      <w:bookmarkEnd w:id="1266"/>
      <w:bookmarkStart w:id="1267" w:name="_Toc158721362"/>
      <w:bookmarkEnd w:id="1267"/>
      <w:bookmarkStart w:id="1268" w:name="_Toc158734067"/>
      <w:bookmarkEnd w:id="1268"/>
      <w:bookmarkStart w:id="1269" w:name="_Toc158720255"/>
      <w:bookmarkEnd w:id="1269"/>
      <w:bookmarkStart w:id="1270" w:name="_Toc158720257"/>
      <w:bookmarkEnd w:id="1270"/>
      <w:bookmarkStart w:id="1271" w:name="_Toc162361727"/>
      <w:bookmarkEnd w:id="1271"/>
      <w:bookmarkStart w:id="1272" w:name="_Toc158722822"/>
      <w:bookmarkEnd w:id="1272"/>
      <w:bookmarkStart w:id="1273" w:name="_Toc158722096"/>
      <w:bookmarkEnd w:id="1273"/>
      <w:bookmarkStart w:id="1274" w:name="_Toc158721359"/>
      <w:bookmarkEnd w:id="1274"/>
      <w:bookmarkStart w:id="1275" w:name="_Toc162361728"/>
      <w:bookmarkEnd w:id="1275"/>
      <w:bookmarkStart w:id="1276" w:name="_Toc158719527"/>
      <w:bookmarkEnd w:id="1276"/>
      <w:bookmarkStart w:id="1277" w:name="_Toc158722097"/>
      <w:bookmarkEnd w:id="1277"/>
      <w:bookmarkStart w:id="1278" w:name="_Toc158722092"/>
      <w:bookmarkEnd w:id="1278"/>
      <w:bookmarkStart w:id="1279" w:name="_Toc162361724"/>
      <w:bookmarkEnd w:id="1279"/>
      <w:bookmarkStart w:id="1280" w:name="_Toc158722825"/>
      <w:bookmarkEnd w:id="1280"/>
      <w:bookmarkStart w:id="1281" w:name="_Toc158720259"/>
      <w:bookmarkEnd w:id="1281"/>
      <w:bookmarkStart w:id="1282" w:name="_Toc158722827"/>
      <w:bookmarkEnd w:id="1282"/>
      <w:bookmarkStart w:id="1283" w:name="_Toc158721360"/>
      <w:bookmarkEnd w:id="1283"/>
      <w:bookmarkStart w:id="1284" w:name="_Toc162359642"/>
      <w:bookmarkEnd w:id="1284"/>
      <w:bookmarkStart w:id="1285" w:name="_Toc158719528"/>
      <w:bookmarkEnd w:id="1285"/>
      <w:bookmarkStart w:id="1286" w:name="_Toc162359638"/>
      <w:bookmarkEnd w:id="1286"/>
      <w:bookmarkStart w:id="1287" w:name="_Toc162359640"/>
      <w:bookmarkEnd w:id="1287"/>
      <w:bookmarkStart w:id="1288" w:name="_Toc158722095"/>
      <w:bookmarkEnd w:id="1288"/>
      <w:bookmarkStart w:id="1289" w:name="_Toc158719526"/>
      <w:bookmarkEnd w:id="1289"/>
      <w:bookmarkStart w:id="1290" w:name="_Toc158734070"/>
      <w:bookmarkEnd w:id="1290"/>
      <w:bookmarkStart w:id="1291" w:name="_Toc158719522"/>
      <w:bookmarkEnd w:id="1291"/>
      <w:bookmarkStart w:id="1292" w:name="_Toc158720254"/>
      <w:bookmarkEnd w:id="1292"/>
      <w:bookmarkStart w:id="1293" w:name="_Toc162359637"/>
      <w:bookmarkEnd w:id="1293"/>
      <w:bookmarkStart w:id="1294" w:name="_Toc158722824"/>
      <w:bookmarkEnd w:id="1294"/>
      <w:bookmarkStart w:id="1295" w:name="_Toc158719525"/>
      <w:bookmarkEnd w:id="1295"/>
      <w:bookmarkStart w:id="1296" w:name="_Toc158734071"/>
      <w:bookmarkEnd w:id="1296"/>
      <w:bookmarkStart w:id="1297" w:name="_Toc158721361"/>
      <w:bookmarkEnd w:id="1297"/>
      <w:bookmarkStart w:id="1298" w:name="_Toc162359636"/>
      <w:bookmarkEnd w:id="1298"/>
      <w:bookmarkStart w:id="1299" w:name="_Toc158719523"/>
      <w:bookmarkEnd w:id="1299"/>
      <w:bookmarkStart w:id="1300" w:name="_Toc158722093"/>
      <w:bookmarkEnd w:id="1300"/>
      <w:bookmarkStart w:id="1301" w:name="_Toc158734068"/>
      <w:bookmarkEnd w:id="1301"/>
      <w:bookmarkStart w:id="1302" w:name="_Toc162361725"/>
      <w:bookmarkEnd w:id="1302"/>
      <w:bookmarkStart w:id="1303" w:name="_Toc158720258"/>
      <w:bookmarkEnd w:id="1303"/>
      <w:bookmarkStart w:id="1304" w:name="_Toc158719524"/>
      <w:bookmarkEnd w:id="1304"/>
      <w:bookmarkStart w:id="1305" w:name="_Toc158722826"/>
      <w:bookmarkEnd w:id="1305"/>
      <w:bookmarkStart w:id="1306" w:name="_Toc162359641"/>
      <w:bookmarkEnd w:id="1306"/>
      <w:bookmarkStart w:id="1307" w:name="_Toc158721363"/>
      <w:bookmarkEnd w:id="1307"/>
      <w:bookmarkStart w:id="1308" w:name="_Toc158734073"/>
      <w:bookmarkEnd w:id="1308"/>
      <w:bookmarkStart w:id="1309" w:name="_Toc158722823"/>
      <w:bookmarkEnd w:id="1309"/>
      <w:bookmarkStart w:id="1310" w:name="_Toc162359639"/>
      <w:bookmarkEnd w:id="1310"/>
      <w:bookmarkStart w:id="1311" w:name="_Toc162361729"/>
      <w:bookmarkEnd w:id="1311"/>
      <w:bookmarkStart w:id="1312" w:name="_Toc162361723"/>
      <w:bookmarkEnd w:id="1312"/>
      <w:bookmarkStart w:id="1313" w:name="_Toc158734069"/>
      <w:bookmarkEnd w:id="1313"/>
      <w:bookmarkStart w:id="1314" w:name="_Toc158722094"/>
      <w:bookmarkEnd w:id="1314"/>
      <w:bookmarkStart w:id="1315" w:name="_Toc158734072"/>
      <w:bookmarkEnd w:id="1315"/>
      <w:bookmarkStart w:id="1316" w:name="_Ref147139672"/>
      <w:bookmarkStart w:id="1317" w:name="_Toc225866320"/>
      <w:bookmarkStart w:id="1318" w:name="_Ref163223338"/>
      <w:bookmarkStart w:id="1319" w:name="_Toc149209649"/>
      <w:bookmarkStart w:id="1320" w:name="_Hlk166518135"/>
      <w:bookmarkStart w:id="1321" w:name="_Toc149209634"/>
      <w:bookmarkStart w:id="1322" w:name="_Toc131174698"/>
      <w:bookmarkStart w:id="1323" w:name="_Ref142476765"/>
      <w:bookmarkStart w:id="1324" w:name="_Ref147139671"/>
      <w:r>
        <w:t>Работа со счетами на оплату медицинской помощи</w:t>
      </w:r>
      <w:bookmarkEnd w:id="1316"/>
      <w:bookmarkEnd w:id="1317"/>
      <w:bookmarkEnd w:id="1318"/>
      <w:bookmarkEnd w:id="1319"/>
    </w:p>
    <w:p w14:paraId="15A90888">
      <w:pPr>
        <w:pStyle w:val="69"/>
      </w:pPr>
      <w:r>
        <w:t>Все счета формируются в рамках отчетного периода. В счет МО за отчетный период входят все случаи оказания медицинской помощи за отчетный период. Датой оказания медицинской помощи считается дата выписки в СЭФД СТЦ, дата последней услуги в АМБ или дата услуги (вызова) в СМП. Все услуги из СТЦ, включая симультанные, попадают в отчетный период, соответствующий дате выписки в форме СТЦ.</w:t>
      </w:r>
    </w:p>
    <w:p w14:paraId="10B90C3F">
      <w:pPr>
        <w:pStyle w:val="69"/>
      </w:pPr>
      <w:r>
        <w:t>Отправленные МО счета на оплату медицинской помощи, а также общая информация по каждому из них отображаются в разделе «Реестр счетов».</w:t>
      </w:r>
    </w:p>
    <w:bookmarkEnd w:id="1320"/>
    <w:p w14:paraId="7534DC39">
      <w:pPr>
        <w:pStyle w:val="60"/>
        <w:rPr>
          <w:lang w:eastAsia="en-US"/>
        </w:rPr>
      </w:pPr>
      <w:bookmarkStart w:id="1325" w:name="_Toc225866321"/>
      <w:bookmarkStart w:id="1326" w:name="_Ref147163104"/>
      <w:bookmarkStart w:id="1327" w:name="_Toc149209650"/>
      <w:r>
        <w:rPr>
          <w:lang w:eastAsia="en-US"/>
        </w:rPr>
        <w:t>Просмотр реестра счетов</w:t>
      </w:r>
      <w:bookmarkEnd w:id="1325"/>
      <w:bookmarkEnd w:id="1326"/>
      <w:bookmarkEnd w:id="1327"/>
    </w:p>
    <w:p w14:paraId="2DBE314B">
      <w:pPr>
        <w:pStyle w:val="69"/>
        <w:keepNext/>
      </w:pPr>
      <w:r>
        <w:t>Просмотр реестра счетов доступен для следующих ролей сотрудников ТФОМС:</w:t>
      </w:r>
    </w:p>
    <w:p w14:paraId="5C02B757">
      <w:pPr>
        <w:pStyle w:val="76"/>
      </w:pPr>
      <w:r>
        <w:t>Плательщик ТФОМС;</w:t>
      </w:r>
    </w:p>
    <w:p w14:paraId="15542E7F">
      <w:pPr>
        <w:pStyle w:val="76"/>
      </w:pPr>
      <w:r>
        <w:t>Куратор по СМО;</w:t>
      </w:r>
    </w:p>
    <w:p w14:paraId="5C06E2BB">
      <w:pPr>
        <w:pStyle w:val="76"/>
      </w:pPr>
      <w:r>
        <w:t>Куратор по МО;</w:t>
      </w:r>
    </w:p>
    <w:p w14:paraId="57154E95">
      <w:pPr>
        <w:pStyle w:val="76"/>
      </w:pPr>
      <w:r>
        <w:t>Администратор счетов субъекта.</w:t>
      </w:r>
    </w:p>
    <w:p w14:paraId="55857927">
      <w:pPr>
        <w:pStyle w:val="69"/>
      </w:pPr>
      <w:bookmarkStart w:id="1328" w:name="_Hlk143679649"/>
      <w:r>
        <w:t>Для перехода в раздел выбрать в ленте главного меню вкладку «Реестр счетов».</w:t>
      </w:r>
    </w:p>
    <w:bookmarkEnd w:id="1328"/>
    <w:p w14:paraId="2E8467FA">
      <w:pPr>
        <w:pStyle w:val="69"/>
      </w:pPr>
      <w:r>
        <w:t xml:space="preserve">В рабочей области отобразится «Реестр счетов», содержащий список сформированных счетов (рис. </w:t>
      </w:r>
      <w:r>
        <w:fldChar w:fldCharType="begin"/>
      </w:r>
      <w:r>
        <w:instrText xml:space="preserve"> REF  _Ref146528471 \h\#\0   \* MERGEFORMAT </w:instrText>
      </w:r>
      <w:r>
        <w:fldChar w:fldCharType="separate"/>
      </w:r>
      <w:r>
        <w:t>20</w:t>
      </w:r>
      <w:r>
        <w:fldChar w:fldCharType="end"/>
      </w:r>
      <w:r>
        <w:t>). Текущее состояние счета отображается в поле «Статус».</w:t>
      </w:r>
    </w:p>
    <w:p w14:paraId="2895B451">
      <w:pPr>
        <w:pStyle w:val="73"/>
      </w:pPr>
      <w:r>
        <w:drawing>
          <wp:inline distT="0" distB="0" distL="0" distR="0">
            <wp:extent cx="6119495" cy="2361565"/>
            <wp:effectExtent l="19050" t="19050" r="14605" b="19685"/>
            <wp:docPr id="10316415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41575" name="Рисунок 1"/>
                    <pic:cNvPicPr>
                      <a:picLocks noChangeAspect="1"/>
                    </pic:cNvPicPr>
                  </pic:nvPicPr>
                  <pic:blipFill>
                    <a:blip r:embed="rId42"/>
                    <a:stretch>
                      <a:fillRect/>
                    </a:stretch>
                  </pic:blipFill>
                  <pic:spPr>
                    <a:xfrm>
                      <a:off x="0" y="0"/>
                      <a:ext cx="6119495" cy="2361565"/>
                    </a:xfrm>
                    <a:prstGeom prst="rect">
                      <a:avLst/>
                    </a:prstGeom>
                    <a:ln w="3175" cmpd="sng">
                      <a:solidFill>
                        <a:srgbClr val="000000"/>
                      </a:solidFill>
                    </a:ln>
                  </pic:spPr>
                </pic:pic>
              </a:graphicData>
            </a:graphic>
          </wp:inline>
        </w:drawing>
      </w:r>
    </w:p>
    <w:p w14:paraId="123360BE">
      <w:pPr>
        <w:pStyle w:val="74"/>
      </w:pPr>
      <w:bookmarkStart w:id="1329" w:name="_Ref146528471"/>
      <w:r>
        <w:t xml:space="preserve">Рисунок </w:t>
      </w:r>
      <w:r>
        <w:fldChar w:fldCharType="begin"/>
      </w:r>
      <w:r>
        <w:instrText xml:space="preserve"> SEQ Рисунок \* ARABIC </w:instrText>
      </w:r>
      <w:r>
        <w:fldChar w:fldCharType="separate"/>
      </w:r>
      <w:r>
        <w:t>20</w:t>
      </w:r>
      <w:r>
        <w:fldChar w:fldCharType="end"/>
      </w:r>
      <w:bookmarkEnd w:id="1329"/>
      <w:r>
        <w:t xml:space="preserve"> — Реестр счетов</w:t>
      </w:r>
    </w:p>
    <w:p w14:paraId="58132047">
      <w:pPr>
        <w:pStyle w:val="69"/>
      </w:pPr>
      <w:r>
        <w:t>Табличная часть реестра счетов содержит следующие столбцы:</w:t>
      </w:r>
    </w:p>
    <w:p w14:paraId="29DD4F36">
      <w:pPr>
        <w:pStyle w:val="76"/>
      </w:pPr>
      <w:bookmarkStart w:id="1330" w:name="_Hlk146814761"/>
      <w:r>
        <w:t>поле выбора элемента списка (записи счета);</w:t>
      </w:r>
    </w:p>
    <w:p w14:paraId="2A349C24">
      <w:pPr>
        <w:pStyle w:val="76"/>
      </w:pPr>
      <w:r>
        <w:t>«№ п/п» — порядковый номер записи;</w:t>
      </w:r>
    </w:p>
    <w:p w14:paraId="3F56DC88">
      <w:pPr>
        <w:pStyle w:val="76"/>
      </w:pPr>
      <w:r>
        <w:t>«ТПГГ и ПГГ» — код медицинской организации в ОМС;</w:t>
      </w:r>
    </w:p>
    <w:p w14:paraId="64081360">
      <w:pPr>
        <w:pStyle w:val="76"/>
      </w:pPr>
      <w:r>
        <w:t>«Субъект РФ МО счета» — наименование субъекта РФ;</w:t>
      </w:r>
    </w:p>
    <w:p w14:paraId="24DC4343">
      <w:pPr>
        <w:pStyle w:val="76"/>
      </w:pPr>
      <w:r>
        <w:t>«</w:t>
      </w:r>
      <w:r>
        <w:rPr>
          <w:lang w:val="en-US"/>
        </w:rPr>
        <w:t>OID</w:t>
      </w:r>
      <w:r>
        <w:t xml:space="preserve"> МО» — код медицинской организации в ФРМО;</w:t>
      </w:r>
    </w:p>
    <w:p w14:paraId="310D35B6">
      <w:pPr>
        <w:pStyle w:val="76"/>
      </w:pPr>
      <w:r>
        <w:t xml:space="preserve">«Тип счета» — смотри </w:t>
      </w:r>
      <w:r>
        <w:fldChar w:fldCharType="begin"/>
      </w:r>
      <w:r>
        <w:instrText xml:space="preserve"> REF _Ref225767831 \r \h </w:instrText>
      </w:r>
      <w:r>
        <w:fldChar w:fldCharType="separate"/>
      </w:r>
      <w:r>
        <w:t>Приложение Б</w:t>
      </w:r>
      <w:r>
        <w:fldChar w:fldCharType="end"/>
      </w:r>
      <w:r>
        <w:t>;</w:t>
      </w:r>
    </w:p>
    <w:p w14:paraId="62D24ED2">
      <w:pPr>
        <w:pStyle w:val="76"/>
      </w:pPr>
      <w:r>
        <w:t xml:space="preserve">«Статус счета» — текущее состояние счета (см. </w:t>
      </w:r>
      <w:r>
        <w:fldChar w:fldCharType="begin"/>
      </w:r>
      <w:r>
        <w:instrText xml:space="preserve"> REF _Ref225767861 \n \h </w:instrText>
      </w:r>
      <w:r>
        <w:fldChar w:fldCharType="separate"/>
      </w:r>
      <w:r>
        <w:t>Приложение А</w:t>
      </w:r>
      <w:r>
        <w:fldChar w:fldCharType="end"/>
      </w:r>
      <w:r>
        <w:t>);</w:t>
      </w:r>
    </w:p>
    <w:p w14:paraId="3926C7F9">
      <w:pPr>
        <w:pStyle w:val="76"/>
      </w:pPr>
      <w:r>
        <w:t>«Статус МЭК» — текущее состояние МЭК;</w:t>
      </w:r>
    </w:p>
    <w:bookmarkEnd w:id="1330"/>
    <w:p w14:paraId="1FD274B3">
      <w:pPr>
        <w:pStyle w:val="76"/>
      </w:pPr>
      <w:r>
        <w:t>«ИД счета» — идентификатор счета в ФПУМП;</w:t>
      </w:r>
    </w:p>
    <w:p w14:paraId="67D3B750">
      <w:pPr>
        <w:pStyle w:val="76"/>
      </w:pPr>
      <w:r>
        <w:t>«Версия счета» — версия отправленного медицинской организацией счета;</w:t>
      </w:r>
    </w:p>
    <w:p w14:paraId="402C726C">
      <w:pPr>
        <w:pStyle w:val="76"/>
      </w:pPr>
      <w:r>
        <w:t>«Кол-во пациентов» — количество уникальных пациентов в счете МО;</w:t>
      </w:r>
    </w:p>
    <w:p w14:paraId="042E6477">
      <w:pPr>
        <w:pStyle w:val="76"/>
      </w:pPr>
      <w:r>
        <w:t>«Кол-во услуг по тарифу» — количество услуг оплачиваемых по тарифу в счете МО;</w:t>
      </w:r>
    </w:p>
    <w:p w14:paraId="02D0EACC">
      <w:pPr>
        <w:pStyle w:val="76"/>
      </w:pPr>
      <w:r>
        <w:t>«Сумма по акту расчета, руб.» — итоговая сумма в акте расчетов, в рублях (поле доступно для ролей: Плательщик ТФОМС, Куратор по СМО);</w:t>
      </w:r>
    </w:p>
    <w:p w14:paraId="221695FD">
      <w:pPr>
        <w:pStyle w:val="76"/>
      </w:pPr>
      <w:r>
        <w:t>«Сумма по паспорту счета, руб.» — заявленная сумма ЗС в паспорте счета (поле доступно для ролей: Куратор по МО, Администратор счетов субъекта);</w:t>
      </w:r>
    </w:p>
    <w:p w14:paraId="23CC451D">
      <w:pPr>
        <w:pStyle w:val="76"/>
      </w:pPr>
      <w:r>
        <w:t>«Снятия по МЭЭ и ЭКМП, руб.» — сумма снятий по МЭЭ и ЭКМП;</w:t>
      </w:r>
    </w:p>
    <w:p w14:paraId="6E843B6E">
      <w:pPr>
        <w:pStyle w:val="76"/>
      </w:pPr>
      <w:r>
        <w:t>«Дельта повторного МЭК» — отражает дельту снятий, полученных в результате повторного МЭК;</w:t>
      </w:r>
    </w:p>
    <w:p w14:paraId="61E8F042">
      <w:pPr>
        <w:pStyle w:val="76"/>
      </w:pPr>
      <w:r>
        <w:t>«Сумма МЭК счёта, руб.» — сумма ЗС, снятых по ФЛК/МЭК СЭФД</w:t>
      </w:r>
    </w:p>
    <w:p w14:paraId="4055F336">
      <w:pPr>
        <w:pStyle w:val="76"/>
      </w:pPr>
      <w:r>
        <w:t>«Версия МЭК»;</w:t>
      </w:r>
    </w:p>
    <w:p w14:paraId="3C603349">
      <w:pPr>
        <w:pStyle w:val="76"/>
      </w:pPr>
      <w:r>
        <w:t>«Дата отправки счета» — дата отправки счета МО в формате дд.мм.гггг;</w:t>
      </w:r>
    </w:p>
    <w:p w14:paraId="519C5B19">
      <w:pPr>
        <w:pStyle w:val="76"/>
      </w:pPr>
      <w:r>
        <w:t>«Дата формирования ответа» — дата формирования ответа в формате дд.мм.гггг;</w:t>
      </w:r>
    </w:p>
    <w:p w14:paraId="765FB747">
      <w:pPr>
        <w:pStyle w:val="76"/>
      </w:pPr>
      <w:r>
        <w:t>«Дата отправки ответа» — дата отправки ответа в формате дд.мм.гггг, направленного плательщиком в МО;</w:t>
      </w:r>
    </w:p>
    <w:p w14:paraId="51071FE5">
      <w:pPr>
        <w:pStyle w:val="76"/>
      </w:pPr>
      <w:r>
        <w:t>«Тип последнего ответа» — тип последнего ответа, направленного плательщиком в МО («Предварительный», «Финальный»);</w:t>
      </w:r>
    </w:p>
    <w:p w14:paraId="195F6CD6">
      <w:pPr>
        <w:pStyle w:val="76"/>
      </w:pPr>
      <w:r>
        <w:t>«Версия ответа»;</w:t>
      </w:r>
    </w:p>
    <w:p w14:paraId="7CDEFCA5">
      <w:pPr>
        <w:pStyle w:val="76"/>
      </w:pPr>
      <w:r>
        <w:t>«Отправитель»;</w:t>
      </w:r>
    </w:p>
    <w:p w14:paraId="118F3AE8">
      <w:pPr>
        <w:pStyle w:val="76"/>
      </w:pPr>
      <w:r>
        <w:t>«Отправитель финального ответа»;</w:t>
      </w:r>
    </w:p>
    <w:p w14:paraId="585A889D">
      <w:pPr>
        <w:pStyle w:val="76"/>
      </w:pPr>
      <w:r>
        <w:t>«Владелец ЭЦП отправителя»;</w:t>
      </w:r>
    </w:p>
    <w:p w14:paraId="3ED39E96">
      <w:pPr>
        <w:pStyle w:val="76"/>
      </w:pPr>
      <w:r>
        <w:t>«Подписант МЭК»;</w:t>
      </w:r>
    </w:p>
    <w:p w14:paraId="5777C532">
      <w:pPr>
        <w:pStyle w:val="76"/>
      </w:pPr>
      <w:r>
        <w:t>«Владелец ЭЦП МЭК»;</w:t>
      </w:r>
    </w:p>
    <w:p w14:paraId="28D4EDCD">
      <w:pPr>
        <w:pStyle w:val="76"/>
      </w:pPr>
      <w:r>
        <w:drawing>
          <wp:inline distT="0" distB="0" distL="0" distR="0">
            <wp:extent cx="190500" cy="180975"/>
            <wp:effectExtent l="19050" t="19050" r="19050" b="9525"/>
            <wp:docPr id="11280125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12534" name="Рисунок 1"/>
                    <pic:cNvPicPr>
                      <a:picLocks noChangeAspect="1"/>
                    </pic:cNvPicPr>
                  </pic:nvPicPr>
                  <pic:blipFill>
                    <a:blip r:embed="rId43"/>
                    <a:stretch>
                      <a:fillRect/>
                    </a:stretch>
                  </pic:blipFill>
                  <pic:spPr>
                    <a:xfrm>
                      <a:off x="0" y="0"/>
                      <a:ext cx="190527" cy="181000"/>
                    </a:xfrm>
                    <a:prstGeom prst="rect">
                      <a:avLst/>
                    </a:prstGeom>
                    <a:ln w="3175" cmpd="sng">
                      <a:solidFill>
                        <a:srgbClr val="000000"/>
                      </a:solidFill>
                    </a:ln>
                  </pic:spPr>
                </pic:pic>
              </a:graphicData>
            </a:graphic>
          </wp:inline>
        </w:drawing>
      </w:r>
      <w:r>
        <w:t xml:space="preserve"> «Настройки» — отбор столбцов для отображения.</w:t>
      </w:r>
    </w:p>
    <w:p w14:paraId="2F7A5397">
      <w:pPr>
        <w:pStyle w:val="69"/>
      </w:pPr>
      <w:r>
        <w:t xml:space="preserve">Доступен элемент управления </w:t>
      </w:r>
      <w:r>
        <w:drawing>
          <wp:inline distT="0" distB="0" distL="0" distR="0">
            <wp:extent cx="179705" cy="191770"/>
            <wp:effectExtent l="19050" t="19050" r="10795" b="17780"/>
            <wp:docPr id="1290839755" name="Рисунок 1290839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839755" name="Рисунок 1290839755"/>
                    <pic:cNvPicPr>
                      <a:picLocks noChangeAspect="1"/>
                    </pic:cNvPicPr>
                  </pic:nvPicPr>
                  <pic:blipFill>
                    <a:blip r:embed="rId32"/>
                    <a:stretch>
                      <a:fillRect/>
                    </a:stretch>
                  </pic:blipFill>
                  <pic:spPr>
                    <a:xfrm>
                      <a:off x="0" y="0"/>
                      <a:ext cx="180000" cy="192000"/>
                    </a:xfrm>
                    <a:prstGeom prst="rect">
                      <a:avLst/>
                    </a:prstGeom>
                    <a:ln w="3175" cmpd="sng">
                      <a:solidFill>
                        <a:srgbClr val="000000"/>
                      </a:solidFill>
                    </a:ln>
                  </pic:spPr>
                </pic:pic>
              </a:graphicData>
            </a:graphic>
          </wp:inline>
        </w:drawing>
      </w:r>
      <w:r>
        <w:t xml:space="preserve"> «Настройка» для выбора в панели настройки показателей (столбцов) для отображения в табличной форме. Для просмотра всех показателей воспользоваться полосой прокрутки справа.</w:t>
      </w:r>
    </w:p>
    <w:p w14:paraId="1A576B7D">
      <w:pPr>
        <w:pStyle w:val="60"/>
      </w:pPr>
      <w:bookmarkStart w:id="1331" w:name="_Toc158719669"/>
      <w:bookmarkEnd w:id="1331"/>
      <w:bookmarkStart w:id="1332" w:name="_Toc158720401"/>
      <w:bookmarkEnd w:id="1332"/>
      <w:bookmarkStart w:id="1333" w:name="_Toc158721505"/>
      <w:bookmarkEnd w:id="1333"/>
      <w:bookmarkStart w:id="1334" w:name="_Toc158722239"/>
      <w:bookmarkEnd w:id="1334"/>
      <w:bookmarkStart w:id="1335" w:name="_Toc158722969"/>
      <w:bookmarkEnd w:id="1335"/>
      <w:bookmarkStart w:id="1336" w:name="_Toc158734215"/>
      <w:bookmarkEnd w:id="1336"/>
      <w:bookmarkStart w:id="1337" w:name="_Toc162359784"/>
      <w:bookmarkEnd w:id="1337"/>
      <w:bookmarkStart w:id="1338" w:name="_Toc162361871"/>
      <w:bookmarkEnd w:id="1338"/>
      <w:bookmarkStart w:id="1339" w:name="_Toc131174711"/>
      <w:bookmarkStart w:id="1340" w:name="_Toc117069389"/>
      <w:bookmarkStart w:id="1341" w:name="_Ref142477237"/>
      <w:bookmarkStart w:id="1342" w:name="_Toc149209651"/>
      <w:bookmarkStart w:id="1343" w:name="_Toc225866322"/>
      <w:r>
        <w:t xml:space="preserve">Поиск </w:t>
      </w:r>
      <w:bookmarkEnd w:id="1339"/>
      <w:bookmarkEnd w:id="1340"/>
      <w:r>
        <w:t>и просмотр счет</w:t>
      </w:r>
      <w:bookmarkEnd w:id="1341"/>
      <w:bookmarkEnd w:id="1342"/>
      <w:r>
        <w:t>а</w:t>
      </w:r>
      <w:bookmarkEnd w:id="1343"/>
    </w:p>
    <w:p w14:paraId="3E46E1B6">
      <w:pPr>
        <w:pStyle w:val="69"/>
      </w:pPr>
      <w:r>
        <w:t>Поиск и просмотр счета доступен для следующих ролей сотрудников ТФОМС:</w:t>
      </w:r>
    </w:p>
    <w:p w14:paraId="404DD96F">
      <w:pPr>
        <w:pStyle w:val="76"/>
      </w:pPr>
      <w:r>
        <w:t>Плательщик ТФОМС;</w:t>
      </w:r>
    </w:p>
    <w:p w14:paraId="33F57961">
      <w:pPr>
        <w:pStyle w:val="76"/>
      </w:pPr>
      <w:r>
        <w:t>Куратор по СМО;</w:t>
      </w:r>
    </w:p>
    <w:p w14:paraId="4B4B5985">
      <w:pPr>
        <w:pStyle w:val="76"/>
      </w:pPr>
      <w:r>
        <w:t>Куратор по МО;</w:t>
      </w:r>
    </w:p>
    <w:p w14:paraId="6B3E3ADA">
      <w:pPr>
        <w:pStyle w:val="76"/>
      </w:pPr>
      <w:r>
        <w:t>Администратор счетов субъекта.</w:t>
      </w:r>
    </w:p>
    <w:p w14:paraId="26C34CB0">
      <w:pPr>
        <w:pStyle w:val="69"/>
      </w:pPr>
      <w:r>
        <w:t xml:space="preserve">Для поиска счетов за определенный период необходимо в блоке «Фильтр» (рис. </w:t>
      </w:r>
      <w:r>
        <w:fldChar w:fldCharType="begin"/>
      </w:r>
      <w:r>
        <w:instrText xml:space="preserve"> REF  _Ref133511648 \h\#\0   \* MERGEFORMAT </w:instrText>
      </w:r>
      <w:r>
        <w:fldChar w:fldCharType="separate"/>
      </w:r>
      <w:r>
        <w:t>21</w:t>
      </w:r>
      <w:r>
        <w:fldChar w:fldCharType="end"/>
      </w:r>
      <w:r>
        <w:t>) указать отчетный период и нажать кнопку «Найти».</w:t>
      </w:r>
    </w:p>
    <w:p w14:paraId="2D001C3A">
      <w:pPr>
        <w:pStyle w:val="69"/>
      </w:pPr>
      <w:r>
        <w:t>Возможен поиск по дополнительным параметрам —статус счета, статус МЭК, тип ответа и параметры медицинской организации.</w:t>
      </w:r>
    </w:p>
    <w:p w14:paraId="78479EA1">
      <w:pPr>
        <w:pStyle w:val="69"/>
      </w:pPr>
      <w:r>
        <w:t>Возможен поиск по результатам МЭК счета при установке флага в поле выбора признака:</w:t>
      </w:r>
    </w:p>
    <w:p w14:paraId="6E9D8437">
      <w:pPr>
        <w:pStyle w:val="76"/>
      </w:pPr>
      <w:r>
        <w:t>«У счета подготовлены не подписанные результаты МЭК»;</w:t>
      </w:r>
    </w:p>
    <w:p w14:paraId="2BE62A64">
      <w:pPr>
        <w:pStyle w:val="76"/>
      </w:pPr>
      <w:r>
        <w:t>«У счета есть опубликованные результаты МЭК»;</w:t>
      </w:r>
    </w:p>
    <w:p w14:paraId="31D76D07">
      <w:pPr>
        <w:pStyle w:val="76"/>
      </w:pPr>
      <w:r>
        <w:t>«У счета есть сумма МЭК равная нулю».</w:t>
      </w:r>
    </w:p>
    <w:p w14:paraId="2D61D135">
      <w:pPr>
        <w:pStyle w:val="73"/>
      </w:pPr>
      <w:r>
        <w:drawing>
          <wp:inline distT="0" distB="0" distL="0" distR="0">
            <wp:extent cx="2519680" cy="5641975"/>
            <wp:effectExtent l="19050" t="19050" r="13970" b="15875"/>
            <wp:docPr id="13196341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634148" name="Рисунок 1"/>
                    <pic:cNvPicPr>
                      <a:picLocks noChangeAspect="1"/>
                    </pic:cNvPicPr>
                  </pic:nvPicPr>
                  <pic:blipFill>
                    <a:blip r:embed="rId44"/>
                    <a:stretch>
                      <a:fillRect/>
                    </a:stretch>
                  </pic:blipFill>
                  <pic:spPr>
                    <a:xfrm>
                      <a:off x="0" y="0"/>
                      <a:ext cx="2520000" cy="5642389"/>
                    </a:xfrm>
                    <a:prstGeom prst="rect">
                      <a:avLst/>
                    </a:prstGeom>
                    <a:ln w="3175" cmpd="sng">
                      <a:solidFill>
                        <a:srgbClr val="000000"/>
                      </a:solidFill>
                    </a:ln>
                  </pic:spPr>
                </pic:pic>
              </a:graphicData>
            </a:graphic>
          </wp:inline>
        </w:drawing>
      </w:r>
    </w:p>
    <w:p w14:paraId="1CA3ACDB">
      <w:pPr>
        <w:pStyle w:val="74"/>
      </w:pPr>
      <w:bookmarkStart w:id="1344" w:name="_Ref133511648"/>
      <w:r>
        <w:t xml:space="preserve">Рисунок </w:t>
      </w:r>
      <w:r>
        <w:fldChar w:fldCharType="begin"/>
      </w:r>
      <w:r>
        <w:instrText xml:space="preserve"> SEQ Рисунок \* ARABIC </w:instrText>
      </w:r>
      <w:r>
        <w:fldChar w:fldCharType="separate"/>
      </w:r>
      <w:r>
        <w:t>21</w:t>
      </w:r>
      <w:r>
        <w:fldChar w:fldCharType="end"/>
      </w:r>
      <w:bookmarkEnd w:id="1344"/>
      <w:r>
        <w:t xml:space="preserve"> — Раздел «Реестр счетов». Блок «Фильтр»</w:t>
      </w:r>
    </w:p>
    <w:p w14:paraId="4E2B15CA">
      <w:pPr>
        <w:pStyle w:val="69"/>
      </w:pPr>
      <w:r>
        <w:t xml:space="preserve">В области вывода результатов отобразится «Реестр счетов», содержащий список отправленных МО счетов за выбранный отчетный период и удовлетворяющих критериям поиска (рис. </w:t>
      </w:r>
      <w:r>
        <w:fldChar w:fldCharType="begin"/>
      </w:r>
      <w:r>
        <w:instrText xml:space="preserve"> REF  _Ref133511991 \h\#\0  \* MERGEFORMAT </w:instrText>
      </w:r>
      <w:r>
        <w:fldChar w:fldCharType="separate"/>
      </w:r>
      <w:r>
        <w:t>22</w:t>
      </w:r>
      <w:r>
        <w:fldChar w:fldCharType="end"/>
      </w:r>
      <w:r>
        <w:t>). В поле «Найдено» отображается количество документов, соответствующих поисковому запросу.</w:t>
      </w:r>
    </w:p>
    <w:p w14:paraId="65EFC41E">
      <w:pPr>
        <w:pStyle w:val="73"/>
      </w:pPr>
      <w:r>
        <w:drawing>
          <wp:inline distT="0" distB="0" distL="0" distR="0">
            <wp:extent cx="6119495" cy="941070"/>
            <wp:effectExtent l="19050" t="19050" r="14605" b="11430"/>
            <wp:docPr id="2573501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50134" name="Рисунок 1"/>
                    <pic:cNvPicPr>
                      <a:picLocks noChangeAspect="1"/>
                    </pic:cNvPicPr>
                  </pic:nvPicPr>
                  <pic:blipFill>
                    <a:blip r:embed="rId45"/>
                    <a:stretch>
                      <a:fillRect/>
                    </a:stretch>
                  </pic:blipFill>
                  <pic:spPr>
                    <a:xfrm>
                      <a:off x="0" y="0"/>
                      <a:ext cx="6119495" cy="941070"/>
                    </a:xfrm>
                    <a:prstGeom prst="rect">
                      <a:avLst/>
                    </a:prstGeom>
                    <a:ln w="3175" cmpd="sng">
                      <a:solidFill>
                        <a:srgbClr val="000000"/>
                      </a:solidFill>
                    </a:ln>
                  </pic:spPr>
                </pic:pic>
              </a:graphicData>
            </a:graphic>
          </wp:inline>
        </w:drawing>
      </w:r>
    </w:p>
    <w:p w14:paraId="3A4395A8">
      <w:pPr>
        <w:pStyle w:val="74"/>
      </w:pPr>
      <w:bookmarkStart w:id="1345" w:name="_Ref133511991"/>
      <w:r>
        <w:t xml:space="preserve">Рисунок </w:t>
      </w:r>
      <w:r>
        <w:fldChar w:fldCharType="begin"/>
      </w:r>
      <w:r>
        <w:instrText xml:space="preserve"> SEQ Рисунок \* ARABIC </w:instrText>
      </w:r>
      <w:r>
        <w:fldChar w:fldCharType="separate"/>
      </w:r>
      <w:r>
        <w:t>22</w:t>
      </w:r>
      <w:r>
        <w:fldChar w:fldCharType="end"/>
      </w:r>
      <w:bookmarkEnd w:id="1345"/>
      <w:r>
        <w:t xml:space="preserve"> — Вкладка «Реестр счетов»</w:t>
      </w:r>
    </w:p>
    <w:p w14:paraId="6883CF41">
      <w:pPr>
        <w:pStyle w:val="69"/>
      </w:pPr>
      <w:r>
        <w:t>Для просмотра персонального счета Плательщика нажать ссылку с кодом и наименованием медицинской организации в столбце «ТПГГ и ПГГ».</w:t>
      </w:r>
    </w:p>
    <w:p w14:paraId="23B2EB6C">
      <w:pPr>
        <w:pStyle w:val="69"/>
      </w:pPr>
      <w:bookmarkStart w:id="1346" w:name="_Hlk164095683"/>
      <w:r>
        <w:t xml:space="preserve">В области вывода результатов поиска отобразится запись актуальной версии счета, содержащая основные сведения о персональном счете и сведения о входящих в состав счета документах в блоке «Персональные счета» (рис. </w:t>
      </w:r>
      <w:r>
        <w:fldChar w:fldCharType="begin"/>
      </w:r>
      <w:r>
        <w:instrText xml:space="preserve"> REF  _Ref133512012 \h\#\0   \* MERGEFORMAT </w:instrText>
      </w:r>
      <w:r>
        <w:fldChar w:fldCharType="separate"/>
      </w:r>
      <w:r>
        <w:t>23</w:t>
      </w:r>
      <w:r>
        <w:fldChar w:fldCharType="end"/>
      </w:r>
      <w:r>
        <w:t>).</w:t>
      </w:r>
    </w:p>
    <w:p w14:paraId="21FE5CE9">
      <w:pPr>
        <w:pStyle w:val="73"/>
      </w:pPr>
      <w:r>
        <w:drawing>
          <wp:inline distT="0" distB="0" distL="0" distR="0">
            <wp:extent cx="6119495" cy="1233805"/>
            <wp:effectExtent l="19050" t="19050" r="14605" b="23495"/>
            <wp:docPr id="11446985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698529" name="Рисунок 1"/>
                    <pic:cNvPicPr>
                      <a:picLocks noChangeAspect="1"/>
                    </pic:cNvPicPr>
                  </pic:nvPicPr>
                  <pic:blipFill>
                    <a:blip r:embed="rId46"/>
                    <a:stretch>
                      <a:fillRect/>
                    </a:stretch>
                  </pic:blipFill>
                  <pic:spPr>
                    <a:xfrm>
                      <a:off x="0" y="0"/>
                      <a:ext cx="6119495" cy="1233805"/>
                    </a:xfrm>
                    <a:prstGeom prst="rect">
                      <a:avLst/>
                    </a:prstGeom>
                    <a:ln w="3175" cmpd="sng">
                      <a:solidFill>
                        <a:srgbClr val="000000"/>
                      </a:solidFill>
                    </a:ln>
                  </pic:spPr>
                </pic:pic>
              </a:graphicData>
            </a:graphic>
          </wp:inline>
        </w:drawing>
      </w:r>
    </w:p>
    <w:p w14:paraId="363F25D8">
      <w:pPr>
        <w:pStyle w:val="74"/>
      </w:pPr>
      <w:bookmarkStart w:id="1347" w:name="_Ref133512012"/>
      <w:r>
        <w:t xml:space="preserve">Рисунок </w:t>
      </w:r>
      <w:r>
        <w:fldChar w:fldCharType="begin"/>
      </w:r>
      <w:r>
        <w:instrText xml:space="preserve"> SEQ Рисунок \* ARABIC </w:instrText>
      </w:r>
      <w:r>
        <w:fldChar w:fldCharType="separate"/>
      </w:r>
      <w:r>
        <w:t>23</w:t>
      </w:r>
      <w:r>
        <w:fldChar w:fldCharType="end"/>
      </w:r>
      <w:bookmarkEnd w:id="1347"/>
      <w:r>
        <w:t xml:space="preserve"> — Персональный счет Плательщика</w:t>
      </w:r>
    </w:p>
    <w:bookmarkEnd w:id="1346"/>
    <w:p w14:paraId="355D1D6C">
      <w:pPr>
        <w:pStyle w:val="69"/>
      </w:pPr>
      <w:bookmarkStart w:id="1348" w:name="_Hlk166494206"/>
      <w:bookmarkStart w:id="1349" w:name="_Hlk149130501"/>
      <w:r>
        <w:t xml:space="preserve">В счет входят все СЭФД, отнесенные к данному Плательщику в данный отчетный период. </w:t>
      </w:r>
      <w:bookmarkStart w:id="1350" w:name="_Hlk163638842"/>
      <w:r>
        <w:t xml:space="preserve">Отнесение СЭФД к отчетному периоду </w:t>
      </w:r>
      <w:bookmarkEnd w:id="1350"/>
      <w:bookmarkStart w:id="1351" w:name="_Hlk163638856"/>
      <w:r>
        <w:t xml:space="preserve">определяется </w:t>
      </w:r>
      <w:bookmarkEnd w:id="1351"/>
      <w:r>
        <w:t>датой оказания медицинской помощи:</w:t>
      </w:r>
    </w:p>
    <w:p w14:paraId="256E0D35">
      <w:pPr>
        <w:pStyle w:val="76"/>
      </w:pPr>
      <w:r>
        <w:t>дата выписки в СЭФД СТЦ. Все услуги из СЭФД СТЦ, включая симультанные, попадают в отчетный период, соответствующий дате выписки из СТЦ;</w:t>
      </w:r>
    </w:p>
    <w:p w14:paraId="09FD7004">
      <w:pPr>
        <w:pStyle w:val="76"/>
      </w:pPr>
      <w:r>
        <w:t xml:space="preserve">дата последней услуги в АМБ. </w:t>
      </w:r>
      <w:bookmarkStart w:id="1352" w:name="_Hlk163638729"/>
      <w:r>
        <w:t xml:space="preserve">Все услуги из СЭФД АМБ попадают в отчетный период, </w:t>
      </w:r>
      <w:bookmarkStart w:id="1353" w:name="_Hlk163638765"/>
      <w:r>
        <w:t xml:space="preserve">соответствующий </w:t>
      </w:r>
      <w:bookmarkEnd w:id="1353"/>
      <w:r>
        <w:t>дате последней услуги в АМБ</w:t>
      </w:r>
      <w:bookmarkEnd w:id="1352"/>
      <w:r>
        <w:t>;</w:t>
      </w:r>
    </w:p>
    <w:p w14:paraId="366E5764">
      <w:pPr>
        <w:pStyle w:val="76"/>
      </w:pPr>
      <w:r>
        <w:t xml:space="preserve">дата окончания вызова в СМП. </w:t>
      </w:r>
      <w:bookmarkStart w:id="1354" w:name="_Hlk163638784"/>
      <w:r>
        <w:t>Все услуги в СЭФД СМП попадают в отчетный период по дате вызова в СМП</w:t>
      </w:r>
      <w:bookmarkEnd w:id="1354"/>
      <w:r>
        <w:t>.</w:t>
      </w:r>
    </w:p>
    <w:bookmarkEnd w:id="1348"/>
    <w:p w14:paraId="37452E77">
      <w:pPr>
        <w:pStyle w:val="69"/>
      </w:pPr>
      <w:r>
        <w:t>Информационная строка содержит:</w:t>
      </w:r>
    </w:p>
    <w:p w14:paraId="74144C1E">
      <w:pPr>
        <w:pStyle w:val="76"/>
      </w:pPr>
      <w:r>
        <w:t>наименование формы «Персональный счет»;</w:t>
      </w:r>
    </w:p>
    <w:p w14:paraId="49B90047">
      <w:pPr>
        <w:pStyle w:val="76"/>
      </w:pPr>
      <w:r>
        <w:t>наименование МО, сформировавшей счет;</w:t>
      </w:r>
    </w:p>
    <w:p w14:paraId="594C747D">
      <w:pPr>
        <w:pStyle w:val="76"/>
      </w:pPr>
      <w:r>
        <w:t>отчетный период (месяц и год);</w:t>
      </w:r>
    </w:p>
    <w:p w14:paraId="651DD14D">
      <w:pPr>
        <w:pStyle w:val="76"/>
      </w:pPr>
      <w:r>
        <w:t>номер последней версии счета;</w:t>
      </w:r>
    </w:p>
    <w:p w14:paraId="43F35469">
      <w:pPr>
        <w:pStyle w:val="76"/>
      </w:pPr>
      <w:r>
        <w:t>дата и время формирования версии счета.</w:t>
      </w:r>
    </w:p>
    <w:p w14:paraId="68FA0706">
      <w:pPr>
        <w:pStyle w:val="76"/>
        <w:numPr>
          <w:ilvl w:val="0"/>
          <w:numId w:val="0"/>
        </w:numPr>
        <w:ind w:firstLine="709"/>
      </w:pPr>
      <w:r>
        <w:t>Верхняя строка содержит основные сведения о просматриваемой версии счета.</w:t>
      </w:r>
    </w:p>
    <w:bookmarkEnd w:id="1349"/>
    <w:p w14:paraId="4505E217">
      <w:pPr>
        <w:pStyle w:val="69"/>
      </w:pPr>
      <w:r>
        <w:t>Блок «Персональные счета» содержит СЭФД в привязке к пациенту:</w:t>
      </w:r>
    </w:p>
    <w:p w14:paraId="16567C2C">
      <w:pPr>
        <w:pStyle w:val="76"/>
      </w:pPr>
      <w:r>
        <w:t>«ИД СЭФД» — уникальный номер документа в ФПУМП;</w:t>
      </w:r>
    </w:p>
    <w:p w14:paraId="0EE65644">
      <w:pPr>
        <w:pStyle w:val="76"/>
      </w:pPr>
      <w:bookmarkStart w:id="1355" w:name="_Hlk205820370"/>
      <w:r>
        <w:t>«Версия СЭФД» — версия СЭФД, направленная плательщику;</w:t>
      </w:r>
    </w:p>
    <w:bookmarkEnd w:id="1355"/>
    <w:p w14:paraId="35881D9C">
      <w:pPr>
        <w:pStyle w:val="76"/>
      </w:pPr>
      <w:r>
        <w:t xml:space="preserve">«Дата </w:t>
      </w:r>
      <w:bookmarkStart w:id="1356" w:name="_Hlk205820382"/>
      <w:r>
        <w:t>завершения законченного случая</w:t>
      </w:r>
      <w:bookmarkEnd w:id="1356"/>
      <w:r>
        <w:t xml:space="preserve">» — </w:t>
      </w:r>
      <w:bookmarkStart w:id="1357" w:name="_Hlk205820413"/>
      <w:r>
        <w:t xml:space="preserve">дата окончания оказания медицинской помощи </w:t>
      </w:r>
      <w:bookmarkEnd w:id="1357"/>
      <w:r>
        <w:t>в формате дд.мм.гггг;</w:t>
      </w:r>
    </w:p>
    <w:p w14:paraId="41E4B846">
      <w:pPr>
        <w:pStyle w:val="76"/>
      </w:pPr>
      <w:r>
        <w:t>«Тип документа» — тип СЭФД (СТЦ, СМП или АМБ);</w:t>
      </w:r>
    </w:p>
    <w:p w14:paraId="7E7E1DA8">
      <w:pPr>
        <w:pStyle w:val="76"/>
      </w:pPr>
      <w:r>
        <w:t>«ОИП» — обезличенный идентификатор пациента;</w:t>
      </w:r>
    </w:p>
    <w:p w14:paraId="4744BA21">
      <w:pPr>
        <w:pStyle w:val="76"/>
      </w:pPr>
      <w:r>
        <w:t xml:space="preserve">«Лист регистрации» — </w:t>
      </w:r>
      <w:bookmarkStart w:id="1358" w:name="_Hlk205820463"/>
      <w:r>
        <w:t xml:space="preserve">лист регистрации </w:t>
      </w:r>
      <w:bookmarkEnd w:id="1358"/>
      <w:r>
        <w:t>пациента;</w:t>
      </w:r>
    </w:p>
    <w:p w14:paraId="32A566D2">
      <w:pPr>
        <w:pStyle w:val="76"/>
      </w:pPr>
      <w:r>
        <w:t>«Номер медкарты/Номер карты вызова»;</w:t>
      </w:r>
    </w:p>
    <w:p w14:paraId="0E66502C">
      <w:pPr>
        <w:pStyle w:val="76"/>
      </w:pPr>
      <w:r>
        <w:t>«Основной диагноз» — код основного диагноза из СЭФД;</w:t>
      </w:r>
    </w:p>
    <w:p w14:paraId="061E5F36">
      <w:pPr>
        <w:pStyle w:val="76"/>
      </w:pPr>
      <w:r>
        <w:t>«Должность» — должность основного лечащего врача;</w:t>
      </w:r>
    </w:p>
    <w:p w14:paraId="56374912">
      <w:pPr>
        <w:pStyle w:val="76"/>
      </w:pPr>
      <w:r>
        <w:t>«Отделение/Структурное подразделение» — идентификатор отделения/структурного подразделения (по данным ФРМО);</w:t>
      </w:r>
    </w:p>
    <w:p w14:paraId="21FB290F">
      <w:pPr>
        <w:pStyle w:val="76"/>
      </w:pPr>
      <w:r>
        <w:t>«Услуга, Дата услуги, Кол-во» — наименование, дата и количество услуг по коду услуги по справочнику ТНКМУ;</w:t>
      </w:r>
    </w:p>
    <w:p w14:paraId="3B62DF0B">
      <w:pPr>
        <w:pStyle w:val="76"/>
      </w:pPr>
      <w:r>
        <w:t>«Общее кол-во услуг» — количество разных кодов услуг в ЗС по справочнику ТНКМУ;</w:t>
      </w:r>
    </w:p>
    <w:p w14:paraId="5B13847B">
      <w:pPr>
        <w:pStyle w:val="76"/>
      </w:pPr>
      <w:r>
        <w:t>«ВМП» — код группы ВМП;</w:t>
      </w:r>
    </w:p>
    <w:p w14:paraId="16CE5A92">
      <w:pPr>
        <w:pStyle w:val="76"/>
      </w:pPr>
      <w:r>
        <w:t>«КСГ» — код группы КСГ</w:t>
      </w:r>
      <w:r>
        <w:rPr>
          <w:lang w:val="en-US"/>
        </w:rPr>
        <w:t>;</w:t>
      </w:r>
    </w:p>
    <w:p w14:paraId="05755E7F">
      <w:pPr>
        <w:pStyle w:val="76"/>
      </w:pPr>
      <w:r>
        <w:t>«Код КЛП» — код лекарственных препаратов из справочника ЕСКЛП;</w:t>
      </w:r>
    </w:p>
    <w:p w14:paraId="02B6DE3F">
      <w:pPr>
        <w:pStyle w:val="76"/>
      </w:pPr>
      <w:r>
        <w:t>«Схема ведения ЛП» — код и наименование схемы из справочника V024 «Классификатор классификационных критериев»;</w:t>
      </w:r>
    </w:p>
    <w:p w14:paraId="3C78BB87">
      <w:pPr>
        <w:pStyle w:val="76"/>
      </w:pPr>
      <w:r>
        <w:t>«Сумма, руб» — заявленная сумма ЗС в счете;</w:t>
      </w:r>
    </w:p>
    <w:p w14:paraId="7EBEFD10">
      <w:pPr>
        <w:pStyle w:val="76"/>
      </w:pPr>
      <w:r>
        <w:t>«Сумма МЭК счёта, руб» — заявленная сумма ЗС, снятых по МЭК;</w:t>
      </w:r>
    </w:p>
    <w:p w14:paraId="7FFF498B">
      <w:pPr>
        <w:pStyle w:val="76"/>
      </w:pPr>
      <w:r>
        <w:t>«Юр. лицо МО» — краткое наименование медицинской организации, создавшей СЭФД;</w:t>
      </w:r>
    </w:p>
    <w:p w14:paraId="7FB547B6">
      <w:pPr>
        <w:pStyle w:val="76"/>
      </w:pPr>
      <w:r>
        <w:t xml:space="preserve">«Филиал МО» — </w:t>
      </w:r>
      <w:bookmarkStart w:id="1359" w:name="_Hlk205820605"/>
      <w:r>
        <w:t xml:space="preserve">краткое наименование филиала МО, </w:t>
      </w:r>
      <w:bookmarkEnd w:id="1359"/>
      <w:r>
        <w:t>создавшего СЭФД;</w:t>
      </w:r>
    </w:p>
    <w:p w14:paraId="160CD191">
      <w:pPr>
        <w:pStyle w:val="76"/>
      </w:pPr>
      <w:r>
        <w:t>«Цель посещения».</w:t>
      </w:r>
    </w:p>
    <w:p w14:paraId="0499A08E">
      <w:pPr>
        <w:pStyle w:val="69"/>
      </w:pPr>
      <w:r>
        <w:t>В счет каждой МО входит единый XML-файл единого формата с отчетной информацией по реестру медицинских услуг, оказанных в отчетном периоде: U-файл. Таким образом U-файл содержит данные по всем СЭФД, отнесенным к данному Плательщику.</w:t>
      </w:r>
    </w:p>
    <w:p w14:paraId="14B1105A">
      <w:pPr>
        <w:pStyle w:val="69"/>
      </w:pPr>
      <w:r>
        <w:t>В регламентные сроки подачи счетов МО вправе вносить изменения (исправлять ошибки) в первичные документы СЭФД АМБ, СТЦ, СМП. Медицинская организация после корректировки СЭФД повторно формирует и отправляет единый счет по всем медицинским услугам, вошедшим в счет данной МО. Повторно сформированному счету присваивается новый порядковый номер версии.</w:t>
      </w:r>
    </w:p>
    <w:p w14:paraId="635D68E6">
      <w:pPr>
        <w:pStyle w:val="69"/>
      </w:pPr>
      <w:r>
        <w:t xml:space="preserve">Для просмотра предыдущих версий счета необходимо в информационной строке раскрыть поле «Версия» и выбрать в списке версию счета для просмотра (рис. </w:t>
      </w:r>
      <w:r>
        <w:fldChar w:fldCharType="begin"/>
      </w:r>
      <w:r>
        <w:instrText xml:space="preserve"> REF  _Ref155893001 \h\#\0   \* MERGEFORMAT </w:instrText>
      </w:r>
      <w:r>
        <w:fldChar w:fldCharType="separate"/>
      </w:r>
      <w:r>
        <w:t>24</w:t>
      </w:r>
      <w:r>
        <w:fldChar w:fldCharType="end"/>
      </w:r>
      <w:r>
        <w:t>).</w:t>
      </w:r>
    </w:p>
    <w:p w14:paraId="118E1A12">
      <w:pPr>
        <w:pStyle w:val="73"/>
      </w:pPr>
      <w:r>
        <w:drawing>
          <wp:inline distT="0" distB="0" distL="0" distR="0">
            <wp:extent cx="6119495" cy="1084580"/>
            <wp:effectExtent l="19050" t="19050" r="14605" b="20320"/>
            <wp:docPr id="2256252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25258" name="Рисунок 1"/>
                    <pic:cNvPicPr>
                      <a:picLocks noChangeAspect="1"/>
                    </pic:cNvPicPr>
                  </pic:nvPicPr>
                  <pic:blipFill>
                    <a:blip r:embed="rId47"/>
                    <a:stretch>
                      <a:fillRect/>
                    </a:stretch>
                  </pic:blipFill>
                  <pic:spPr>
                    <a:xfrm>
                      <a:off x="0" y="0"/>
                      <a:ext cx="6119495" cy="1084580"/>
                    </a:xfrm>
                    <a:prstGeom prst="rect">
                      <a:avLst/>
                    </a:prstGeom>
                    <a:ln w="3175" cmpd="sng">
                      <a:solidFill>
                        <a:srgbClr val="000000"/>
                      </a:solidFill>
                    </a:ln>
                  </pic:spPr>
                </pic:pic>
              </a:graphicData>
            </a:graphic>
          </wp:inline>
        </w:drawing>
      </w:r>
    </w:p>
    <w:p w14:paraId="138AE834">
      <w:pPr>
        <w:pStyle w:val="74"/>
      </w:pPr>
      <w:bookmarkStart w:id="1360" w:name="_Ref155893001"/>
      <w:r>
        <w:t xml:space="preserve">Рисунок </w:t>
      </w:r>
      <w:r>
        <w:fldChar w:fldCharType="begin"/>
      </w:r>
      <w:r>
        <w:instrText xml:space="preserve"> SEQ Рисунок \* ARABIC </w:instrText>
      </w:r>
      <w:r>
        <w:fldChar w:fldCharType="separate"/>
      </w:r>
      <w:r>
        <w:t>24</w:t>
      </w:r>
      <w:r>
        <w:fldChar w:fldCharType="end"/>
      </w:r>
      <w:bookmarkEnd w:id="1360"/>
      <w:r>
        <w:t xml:space="preserve"> — Выбор версии счета для просмотра</w:t>
      </w:r>
    </w:p>
    <w:p w14:paraId="52FAC731">
      <w:pPr>
        <w:pStyle w:val="69"/>
      </w:pPr>
      <w:r>
        <w:t>В области вывода результатов в блоке «Персональный счет» отобразится запись выбранной версии счета Плательщика.</w:t>
      </w:r>
    </w:p>
    <w:p w14:paraId="79B87465">
      <w:pPr>
        <w:pStyle w:val="69"/>
      </w:pPr>
      <w:r>
        <w:t xml:space="preserve">Для просмотра СЭФД, вошедших в счет Плательщика, в привязке к конкретному пациенту, необходимо в панели фильтрации (рис. </w:t>
      </w:r>
      <w:r>
        <w:fldChar w:fldCharType="begin"/>
      </w:r>
      <w:r>
        <w:instrText xml:space="preserve"> REF  _Ref155893002 \h\#\0   \* MERGEFORMAT </w:instrText>
      </w:r>
      <w:r>
        <w:fldChar w:fldCharType="separate"/>
      </w:r>
      <w:r>
        <w:t>25</w:t>
      </w:r>
      <w:r>
        <w:fldChar w:fldCharType="end"/>
      </w:r>
      <w:r>
        <w:t>) в блоке «Пациент» указать ОИП или ЕНП пациента и нажать кнопку «Найти».</w:t>
      </w:r>
    </w:p>
    <w:p w14:paraId="34563F7A">
      <w:pPr>
        <w:pStyle w:val="73"/>
        <w:rPr>
          <w:highlight w:val="yellow"/>
        </w:rPr>
      </w:pPr>
      <w:r>
        <w:drawing>
          <wp:inline distT="0" distB="0" distL="0" distR="0">
            <wp:extent cx="2159635" cy="5554980"/>
            <wp:effectExtent l="19050" t="19050" r="12065" b="26670"/>
            <wp:docPr id="5084224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22409" name="Рисунок 1"/>
                    <pic:cNvPicPr>
                      <a:picLocks noChangeAspect="1"/>
                    </pic:cNvPicPr>
                  </pic:nvPicPr>
                  <pic:blipFill>
                    <a:blip r:embed="rId48"/>
                    <a:stretch>
                      <a:fillRect/>
                    </a:stretch>
                  </pic:blipFill>
                  <pic:spPr>
                    <a:xfrm>
                      <a:off x="0" y="0"/>
                      <a:ext cx="2160000" cy="5555521"/>
                    </a:xfrm>
                    <a:prstGeom prst="rect">
                      <a:avLst/>
                    </a:prstGeom>
                    <a:ln w="3175" cmpd="sng">
                      <a:solidFill>
                        <a:srgbClr val="000000"/>
                      </a:solidFill>
                    </a:ln>
                  </pic:spPr>
                </pic:pic>
              </a:graphicData>
            </a:graphic>
          </wp:inline>
        </w:drawing>
      </w:r>
    </w:p>
    <w:p w14:paraId="6BCDFDAA">
      <w:pPr>
        <w:pStyle w:val="74"/>
      </w:pPr>
      <w:bookmarkStart w:id="1361" w:name="_Ref155893002"/>
      <w:r>
        <w:t xml:space="preserve">Рисунок </w:t>
      </w:r>
      <w:r>
        <w:fldChar w:fldCharType="begin"/>
      </w:r>
      <w:r>
        <w:instrText xml:space="preserve"> SEQ Рисунок \* ARABIC </w:instrText>
      </w:r>
      <w:r>
        <w:fldChar w:fldCharType="separate"/>
      </w:r>
      <w:r>
        <w:t>25</w:t>
      </w:r>
      <w:r>
        <w:fldChar w:fldCharType="end"/>
      </w:r>
      <w:bookmarkEnd w:id="1361"/>
      <w:r>
        <w:t xml:space="preserve"> — </w:t>
      </w:r>
      <w:bookmarkStart w:id="1362" w:name="_Hlk205893597"/>
      <w:r>
        <w:t>Выбор пациента для просмотра персонального счета в привязке к</w:t>
      </w:r>
      <w:r>
        <w:rPr>
          <w:lang w:val="en-US"/>
        </w:rPr>
        <w:t> </w:t>
      </w:r>
      <w:r>
        <w:t>пациенту</w:t>
      </w:r>
      <w:bookmarkEnd w:id="1362"/>
    </w:p>
    <w:p w14:paraId="5889547F">
      <w:pPr>
        <w:pStyle w:val="69"/>
      </w:pPr>
      <w:bookmarkStart w:id="1363" w:name="_Hlk166502068"/>
      <w:r>
        <w:t>В области вывода результатов поиска в блоке «Персональные счета» отобразятся сведения о входящих в состав версии счета СЭФД на пациента.</w:t>
      </w:r>
    </w:p>
    <w:bookmarkEnd w:id="1363"/>
    <w:p w14:paraId="04D06E0A">
      <w:pPr>
        <w:pStyle w:val="69"/>
      </w:pPr>
      <w:r>
        <w:t xml:space="preserve">Для </w:t>
      </w:r>
      <w:bookmarkStart w:id="1364" w:name="_Hlk166502216"/>
      <w:r>
        <w:t xml:space="preserve">просмотра сведений об оказанной пациенту МП, вошедшей в счет, </w:t>
      </w:r>
      <w:bookmarkEnd w:id="1364"/>
      <w:r>
        <w:t xml:space="preserve">нажать в столбце «ИД СЭФД» на ссылку с номером документа (рис. </w:t>
      </w:r>
      <w:r>
        <w:fldChar w:fldCharType="begin"/>
      </w:r>
      <w:r>
        <w:instrText xml:space="preserve"> REF  _Ref133512108 \h\#\0   \* MERGEFORMAT </w:instrText>
      </w:r>
      <w:r>
        <w:fldChar w:fldCharType="separate"/>
      </w:r>
      <w:r>
        <w:t>26</w:t>
      </w:r>
      <w:r>
        <w:fldChar w:fldCharType="end"/>
      </w:r>
      <w:r>
        <w:t>).</w:t>
      </w:r>
    </w:p>
    <w:p w14:paraId="541E6DB7">
      <w:pPr>
        <w:pStyle w:val="73"/>
      </w:pPr>
      <w:r>
        <w:drawing>
          <wp:inline distT="0" distB="0" distL="0" distR="0">
            <wp:extent cx="6119495" cy="1845310"/>
            <wp:effectExtent l="19050" t="19050" r="14605" b="21590"/>
            <wp:docPr id="7725056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505699" name="Рисунок 1"/>
                    <pic:cNvPicPr>
                      <a:picLocks noChangeAspect="1"/>
                    </pic:cNvPicPr>
                  </pic:nvPicPr>
                  <pic:blipFill>
                    <a:blip r:embed="rId49"/>
                    <a:stretch>
                      <a:fillRect/>
                    </a:stretch>
                  </pic:blipFill>
                  <pic:spPr>
                    <a:xfrm>
                      <a:off x="0" y="0"/>
                      <a:ext cx="6119495" cy="1845310"/>
                    </a:xfrm>
                    <a:prstGeom prst="rect">
                      <a:avLst/>
                    </a:prstGeom>
                    <a:ln w="3175" cmpd="sng">
                      <a:solidFill>
                        <a:srgbClr val="000000"/>
                      </a:solidFill>
                    </a:ln>
                  </pic:spPr>
                </pic:pic>
              </a:graphicData>
            </a:graphic>
          </wp:inline>
        </w:drawing>
      </w:r>
    </w:p>
    <w:p w14:paraId="432125F1">
      <w:pPr>
        <w:pStyle w:val="74"/>
      </w:pPr>
      <w:bookmarkStart w:id="1365" w:name="_Ref133512108"/>
      <w:r>
        <w:t xml:space="preserve">Рисунок </w:t>
      </w:r>
      <w:r>
        <w:fldChar w:fldCharType="begin"/>
      </w:r>
      <w:r>
        <w:instrText xml:space="preserve"> SEQ Рисунок \* ARABIC </w:instrText>
      </w:r>
      <w:r>
        <w:fldChar w:fldCharType="separate"/>
      </w:r>
      <w:r>
        <w:t>26</w:t>
      </w:r>
      <w:r>
        <w:fldChar w:fldCharType="end"/>
      </w:r>
      <w:bookmarkEnd w:id="1365"/>
      <w:r>
        <w:t xml:space="preserve"> — Персональный счет. Выбор СЭФД для просмотра</w:t>
      </w:r>
    </w:p>
    <w:p w14:paraId="0BE18985">
      <w:pPr>
        <w:pStyle w:val="69"/>
      </w:pPr>
      <w:bookmarkStart w:id="1366" w:name="_Hlk166502299"/>
      <w:r>
        <w:t xml:space="preserve">Произойдет переход в карточку той версии СЭФД, которая попала в версию счета. Сведения о пациенте отображаются в блоке «По пациентам» в разделе «Результаты» (рис. </w:t>
      </w:r>
      <w:r>
        <w:fldChar w:fldCharType="begin"/>
      </w:r>
      <w:r>
        <w:instrText xml:space="preserve"> REF  _Ref155960820 \h\#\0   \* MERGEFORMAT </w:instrText>
      </w:r>
      <w:r>
        <w:fldChar w:fldCharType="separate"/>
      </w:r>
      <w:r>
        <w:t>27</w:t>
      </w:r>
      <w:r>
        <w:fldChar w:fldCharType="end"/>
      </w:r>
      <w:r>
        <w:t>).</w:t>
      </w:r>
    </w:p>
    <w:p w14:paraId="33AA1A1E">
      <w:pPr>
        <w:pStyle w:val="73"/>
        <w:rPr>
          <w:lang w:val="en-US"/>
        </w:rPr>
      </w:pPr>
      <w:r>
        <w:drawing>
          <wp:inline distT="0" distB="0" distL="0" distR="0">
            <wp:extent cx="6119495" cy="2899410"/>
            <wp:effectExtent l="19050" t="19050" r="14605" b="15240"/>
            <wp:docPr id="10439488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948855" name="Рисунок 1"/>
                    <pic:cNvPicPr>
                      <a:picLocks noChangeAspect="1"/>
                    </pic:cNvPicPr>
                  </pic:nvPicPr>
                  <pic:blipFill>
                    <a:blip r:embed="rId50"/>
                    <a:stretch>
                      <a:fillRect/>
                    </a:stretch>
                  </pic:blipFill>
                  <pic:spPr>
                    <a:xfrm>
                      <a:off x="0" y="0"/>
                      <a:ext cx="6119495" cy="2899410"/>
                    </a:xfrm>
                    <a:prstGeom prst="rect">
                      <a:avLst/>
                    </a:prstGeom>
                    <a:ln w="3175" cmpd="sng">
                      <a:solidFill>
                        <a:srgbClr val="000000"/>
                      </a:solidFill>
                    </a:ln>
                  </pic:spPr>
                </pic:pic>
              </a:graphicData>
            </a:graphic>
          </wp:inline>
        </w:drawing>
      </w:r>
    </w:p>
    <w:p w14:paraId="593401CA">
      <w:pPr>
        <w:pStyle w:val="74"/>
      </w:pPr>
      <w:bookmarkStart w:id="1367" w:name="_Ref155960820"/>
      <w:r>
        <w:t xml:space="preserve">Рисунок </w:t>
      </w:r>
      <w:r>
        <w:fldChar w:fldCharType="begin"/>
      </w:r>
      <w:r>
        <w:instrText xml:space="preserve"> SEQ Рисунок \* ARABIC </w:instrText>
      </w:r>
      <w:r>
        <w:fldChar w:fldCharType="separate"/>
      </w:r>
      <w:r>
        <w:t>27</w:t>
      </w:r>
      <w:r>
        <w:fldChar w:fldCharType="end"/>
      </w:r>
      <w:bookmarkEnd w:id="1367"/>
      <w:r>
        <w:t xml:space="preserve"> — Просмотр СЭФД</w:t>
      </w:r>
    </w:p>
    <w:bookmarkEnd w:id="1366"/>
    <w:p w14:paraId="09CF6B87">
      <w:pPr>
        <w:pStyle w:val="60"/>
      </w:pPr>
      <w:bookmarkStart w:id="1368" w:name="_Toc163041787"/>
      <w:bookmarkEnd w:id="1368"/>
      <w:bookmarkStart w:id="1369" w:name="_Toc162528992"/>
      <w:bookmarkEnd w:id="1369"/>
      <w:bookmarkStart w:id="1370" w:name="_Toc163031212"/>
      <w:bookmarkEnd w:id="1370"/>
      <w:bookmarkStart w:id="1371" w:name="_Toc163041634"/>
      <w:bookmarkEnd w:id="1371"/>
      <w:bookmarkStart w:id="1372" w:name="_Toc162517430"/>
      <w:bookmarkEnd w:id="1372"/>
      <w:bookmarkStart w:id="1373" w:name="_Toc163043273"/>
      <w:bookmarkEnd w:id="1373"/>
      <w:bookmarkStart w:id="1374" w:name="_Toc225866323"/>
      <w:bookmarkStart w:id="1375" w:name="_Toc149209653"/>
      <w:bookmarkStart w:id="1376" w:name="_Ref142477253"/>
      <w:bookmarkStart w:id="1377" w:name="_Hlk205897500"/>
      <w:r>
        <w:t>Просмотр и выгрузка паспорта счета</w:t>
      </w:r>
      <w:bookmarkEnd w:id="1374"/>
      <w:bookmarkEnd w:id="1375"/>
      <w:bookmarkEnd w:id="1376"/>
    </w:p>
    <w:p w14:paraId="6E70073D">
      <w:pPr>
        <w:pStyle w:val="69"/>
      </w:pPr>
      <w:r>
        <w:t>Получение паспорта счета в подсистеме ФПУМП ГИС ОМС доступно для следующих ролей сотрудников ТФОМС:</w:t>
      </w:r>
    </w:p>
    <w:p w14:paraId="3576547C">
      <w:pPr>
        <w:pStyle w:val="76"/>
      </w:pPr>
      <w:r>
        <w:t>Плательщик ТФОМС</w:t>
      </w:r>
      <w:r>
        <w:rPr>
          <w:lang w:val="en-US"/>
        </w:rPr>
        <w:t>;</w:t>
      </w:r>
    </w:p>
    <w:p w14:paraId="09C9B77E">
      <w:pPr>
        <w:pStyle w:val="76"/>
      </w:pPr>
      <w:r>
        <w:t>Куратор</w:t>
      </w:r>
      <w:r>
        <w:rPr>
          <w:lang w:val="en-US"/>
        </w:rPr>
        <w:t xml:space="preserve"> </w:t>
      </w:r>
      <w:r>
        <w:t>по СМО</w:t>
      </w:r>
    </w:p>
    <w:p w14:paraId="0C79D499">
      <w:pPr>
        <w:pStyle w:val="76"/>
      </w:pPr>
      <w:r>
        <w:t>Куратор по МО;</w:t>
      </w:r>
    </w:p>
    <w:p w14:paraId="5C3FFB54">
      <w:pPr>
        <w:pStyle w:val="76"/>
      </w:pPr>
      <w:r>
        <w:t>Администратор счетов субъекта;</w:t>
      </w:r>
    </w:p>
    <w:p w14:paraId="393739A2">
      <w:pPr>
        <w:pStyle w:val="69"/>
      </w:pPr>
      <w:r>
        <w:t>В разделе «Реестр счетов» доступен просмотр Паспорта счета для следующих ролей сотрудников ТФОМС:</w:t>
      </w:r>
    </w:p>
    <w:p w14:paraId="0D449389">
      <w:pPr>
        <w:pStyle w:val="76"/>
      </w:pPr>
      <w:r>
        <w:t>Куратор по МО;</w:t>
      </w:r>
    </w:p>
    <w:p w14:paraId="7D1B3BBE">
      <w:pPr>
        <w:pStyle w:val="76"/>
      </w:pPr>
      <w:bookmarkStart w:id="1378" w:name="_Hlk206010660"/>
      <w:r>
        <w:t>Администратор счетов субъекта.</w:t>
      </w:r>
      <w:bookmarkEnd w:id="1378"/>
    </w:p>
    <w:p w14:paraId="5A2566C5">
      <w:pPr>
        <w:pStyle w:val="71"/>
      </w:pPr>
      <w:r>
        <w:rPr>
          <w:rStyle w:val="72"/>
        </w:rPr>
        <w:t>Примечание —</w:t>
      </w:r>
      <w:r>
        <w:t xml:space="preserve"> Плательщику ТФОМС и Куратору СМО просмотр Паспорта счета доступен только в разделе «Информационный обмен», в информационной посылке с типом «Отправлено МО» (описание действий приведено в п.</w:t>
      </w:r>
      <w:r>
        <w:fldChar w:fldCharType="begin"/>
      </w:r>
      <w:r>
        <w:instrText xml:space="preserve"> REF _Ref225769835 \n \h </w:instrText>
      </w:r>
      <w:r>
        <w:fldChar w:fldCharType="separate"/>
      </w:r>
      <w:r>
        <w:t>4.3</w:t>
      </w:r>
      <w:r>
        <w:fldChar w:fldCharType="end"/>
      </w:r>
      <w:r>
        <w:t>).</w:t>
      </w:r>
    </w:p>
    <w:p w14:paraId="755CD888">
      <w:pPr>
        <w:pStyle w:val="69"/>
      </w:pPr>
      <w:r>
        <w:t xml:space="preserve">Для просмотра паспорта счета в разделе «Реестр счетов» нажать в строке счета кнопку </w:t>
      </w:r>
      <w:r>
        <w:drawing>
          <wp:inline distT="0" distB="0" distL="0" distR="0">
            <wp:extent cx="180975" cy="247650"/>
            <wp:effectExtent l="19050" t="19050" r="9525" b="19050"/>
            <wp:docPr id="21028779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877979" name="Рисунок 1"/>
                    <pic:cNvPicPr>
                      <a:picLocks noChangeAspect="1"/>
                    </pic:cNvPicPr>
                  </pic:nvPicPr>
                  <pic:blipFill>
                    <a:blip r:embed="rId51"/>
                    <a:stretch>
                      <a:fillRect/>
                    </a:stretch>
                  </pic:blipFill>
                  <pic:spPr>
                    <a:xfrm>
                      <a:off x="0" y="0"/>
                      <a:ext cx="181000" cy="247685"/>
                    </a:xfrm>
                    <a:prstGeom prst="rect">
                      <a:avLst/>
                    </a:prstGeom>
                    <a:ln w="3175" cmpd="sng">
                      <a:solidFill>
                        <a:srgbClr val="000000"/>
                      </a:solidFill>
                    </a:ln>
                  </pic:spPr>
                </pic:pic>
              </a:graphicData>
            </a:graphic>
          </wp:inline>
        </w:drawing>
      </w:r>
      <w:r>
        <w:t xml:space="preserve"> «Скачать» в столбце «Сумма по ПС, руб» (рис. </w:t>
      </w:r>
      <w:r>
        <w:fldChar w:fldCharType="begin"/>
      </w:r>
      <w:r>
        <w:instrText xml:space="preserve"> REF  _Ref147151404 \h\#\0   \* MERGEFORMAT </w:instrText>
      </w:r>
      <w:r>
        <w:fldChar w:fldCharType="separate"/>
      </w:r>
      <w:r>
        <w:t>28</w:t>
      </w:r>
      <w:r>
        <w:fldChar w:fldCharType="end"/>
      </w:r>
      <w:r>
        <w:t>).</w:t>
      </w:r>
    </w:p>
    <w:p w14:paraId="05EBC5FB">
      <w:pPr>
        <w:pStyle w:val="73"/>
      </w:pPr>
      <w:r>
        <w:drawing>
          <wp:inline distT="0" distB="0" distL="0" distR="0">
            <wp:extent cx="6119495" cy="996950"/>
            <wp:effectExtent l="19050" t="19050" r="14605" b="12700"/>
            <wp:docPr id="4641213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121387" name="Рисунок 1"/>
                    <pic:cNvPicPr>
                      <a:picLocks noChangeAspect="1"/>
                    </pic:cNvPicPr>
                  </pic:nvPicPr>
                  <pic:blipFill>
                    <a:blip r:embed="rId52"/>
                    <a:stretch>
                      <a:fillRect/>
                    </a:stretch>
                  </pic:blipFill>
                  <pic:spPr>
                    <a:xfrm>
                      <a:off x="0" y="0"/>
                      <a:ext cx="6119495" cy="996950"/>
                    </a:xfrm>
                    <a:prstGeom prst="rect">
                      <a:avLst/>
                    </a:prstGeom>
                    <a:ln w="3175" cmpd="sng">
                      <a:solidFill>
                        <a:srgbClr val="000000"/>
                      </a:solidFill>
                    </a:ln>
                  </pic:spPr>
                </pic:pic>
              </a:graphicData>
            </a:graphic>
          </wp:inline>
        </w:drawing>
      </w:r>
    </w:p>
    <w:p w14:paraId="4116E94D">
      <w:pPr>
        <w:pStyle w:val="74"/>
      </w:pPr>
      <w:bookmarkStart w:id="1379" w:name="_Ref147151404"/>
      <w:r>
        <w:t xml:space="preserve">Рисунок </w:t>
      </w:r>
      <w:r>
        <w:fldChar w:fldCharType="begin"/>
      </w:r>
      <w:r>
        <w:instrText xml:space="preserve"> SEQ Рисунок \* ARABIC </w:instrText>
      </w:r>
      <w:r>
        <w:fldChar w:fldCharType="separate"/>
      </w:r>
      <w:r>
        <w:t>28</w:t>
      </w:r>
      <w:r>
        <w:fldChar w:fldCharType="end"/>
      </w:r>
      <w:bookmarkEnd w:id="1379"/>
      <w:r>
        <w:t xml:space="preserve"> — Реестр счетов. </w:t>
      </w:r>
      <w:bookmarkStart w:id="1380" w:name="_Hlk166502460"/>
      <w:r>
        <w:t xml:space="preserve">Скачивание </w:t>
      </w:r>
      <w:bookmarkEnd w:id="1380"/>
      <w:r>
        <w:t>паспорта счета</w:t>
      </w:r>
    </w:p>
    <w:p w14:paraId="7A3341AC">
      <w:pPr>
        <w:pStyle w:val="69"/>
      </w:pPr>
      <w:bookmarkStart w:id="1381" w:name="_Hlk154481111"/>
      <w:r>
        <w:t xml:space="preserve">Пример загруженного паспорта счета приведен на рисунке </w:t>
      </w:r>
      <w:r>
        <w:fldChar w:fldCharType="begin"/>
      </w:r>
      <w:r>
        <w:instrText xml:space="preserve"> REF  _Ref154158124 \h\#\0   \* MERGEFORMAT </w:instrText>
      </w:r>
      <w:r>
        <w:fldChar w:fldCharType="separate"/>
      </w:r>
      <w:r>
        <w:t>29</w:t>
      </w:r>
      <w:r>
        <w:fldChar w:fldCharType="end"/>
      </w:r>
      <w:r>
        <w:t>.</w:t>
      </w:r>
    </w:p>
    <w:p w14:paraId="4D0BA52C">
      <w:pPr>
        <w:pStyle w:val="73"/>
      </w:pPr>
      <w:r>
        <w:drawing>
          <wp:inline distT="0" distB="0" distL="0" distR="0">
            <wp:extent cx="4624070" cy="8923020"/>
            <wp:effectExtent l="19050" t="19050" r="24130" b="11430"/>
            <wp:docPr id="6774551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455197" name="Рисунок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653259" cy="8978815"/>
                    </a:xfrm>
                    <a:prstGeom prst="rect">
                      <a:avLst/>
                    </a:prstGeom>
                    <a:noFill/>
                    <a:ln w="3175" cmpd="sng">
                      <a:solidFill>
                        <a:srgbClr val="000000"/>
                      </a:solidFill>
                    </a:ln>
                  </pic:spPr>
                </pic:pic>
              </a:graphicData>
            </a:graphic>
          </wp:inline>
        </w:drawing>
      </w:r>
    </w:p>
    <w:p w14:paraId="02FE7B8D">
      <w:pPr>
        <w:pStyle w:val="74"/>
        <w:rPr>
          <w:lang w:val="en-US"/>
        </w:rPr>
      </w:pPr>
      <w:bookmarkStart w:id="1382" w:name="_Ref154158124"/>
      <w:r>
        <w:t xml:space="preserve">Рисунок </w:t>
      </w:r>
      <w:r>
        <w:fldChar w:fldCharType="begin"/>
      </w:r>
      <w:r>
        <w:instrText xml:space="preserve"> SEQ Рисунок \* ARABIC </w:instrText>
      </w:r>
      <w:r>
        <w:fldChar w:fldCharType="separate"/>
      </w:r>
      <w:r>
        <w:t>29</w:t>
      </w:r>
      <w:r>
        <w:fldChar w:fldCharType="end"/>
      </w:r>
      <w:bookmarkEnd w:id="1382"/>
      <w:r>
        <w:t xml:space="preserve"> — Пример паспорта счета</w:t>
      </w:r>
    </w:p>
    <w:bookmarkEnd w:id="1377"/>
    <w:p w14:paraId="20A28A80">
      <w:pPr>
        <w:pStyle w:val="60"/>
      </w:pPr>
      <w:bookmarkStart w:id="1383" w:name="_Toc225866324"/>
      <w:bookmarkStart w:id="1384" w:name="_Ref225866236"/>
      <w:bookmarkStart w:id="1385" w:name="_Toc205887085"/>
      <w:bookmarkStart w:id="1386" w:name="_Ref206015667"/>
      <w:bookmarkStart w:id="1387" w:name="_Ref225866245"/>
      <w:r>
        <w:t xml:space="preserve">Просмотр </w:t>
      </w:r>
      <w:bookmarkStart w:id="1388" w:name="_Hlk205894302"/>
      <w:r>
        <w:t>акта расчетов</w:t>
      </w:r>
      <w:bookmarkEnd w:id="1383"/>
      <w:bookmarkEnd w:id="1384"/>
      <w:bookmarkEnd w:id="1385"/>
      <w:bookmarkEnd w:id="1386"/>
      <w:bookmarkEnd w:id="1387"/>
      <w:bookmarkEnd w:id="1388"/>
    </w:p>
    <w:p w14:paraId="1E39BD2F">
      <w:pPr>
        <w:pStyle w:val="69"/>
      </w:pPr>
      <w:bookmarkStart w:id="1389" w:name="_Hlk206122553"/>
      <w:r>
        <w:t>Получить акт расчетов можно как в разделе «Реестр счетов», так и в разделе «Информационный обмен».</w:t>
      </w:r>
    </w:p>
    <w:p w14:paraId="7922CC0C">
      <w:pPr>
        <w:pStyle w:val="69"/>
      </w:pPr>
      <w:r>
        <w:t>В разделе «Реестр счетов» просмотр Акта расчетов доступен для следующих ролей сотрудников ТФОМС:</w:t>
      </w:r>
    </w:p>
    <w:p w14:paraId="4B7BA824">
      <w:pPr>
        <w:pStyle w:val="76"/>
      </w:pPr>
      <w:r>
        <w:t>Плательщик ТФОМС;</w:t>
      </w:r>
    </w:p>
    <w:p w14:paraId="4DFF16A8">
      <w:pPr>
        <w:pStyle w:val="76"/>
      </w:pPr>
      <w:r>
        <w:t>Куратор по СМО.</w:t>
      </w:r>
    </w:p>
    <w:p w14:paraId="72B71767">
      <w:pPr>
        <w:pStyle w:val="71"/>
      </w:pPr>
      <w:r>
        <w:rPr>
          <w:rStyle w:val="72"/>
        </w:rPr>
        <w:t>Примечание —</w:t>
      </w:r>
      <w:r>
        <w:t xml:space="preserve"> Администратору счетов субъекта и Куратору по МО просмотр Акта расчетов доступен только в разделе «Информационный обмен» (описание действий приведено в п.</w:t>
      </w:r>
      <w:r>
        <w:fldChar w:fldCharType="begin"/>
      </w:r>
      <w:r>
        <w:instrText xml:space="preserve"> REF _Ref225782927 \n \h </w:instrText>
      </w:r>
      <w:r>
        <w:fldChar w:fldCharType="separate"/>
      </w:r>
      <w:r>
        <w:t>4.3</w:t>
      </w:r>
      <w:r>
        <w:fldChar w:fldCharType="end"/>
      </w:r>
      <w:r>
        <w:t>).</w:t>
      </w:r>
    </w:p>
    <w:p w14:paraId="1427C214">
      <w:pPr>
        <w:pStyle w:val="69"/>
      </w:pPr>
      <w:bookmarkStart w:id="1390" w:name="_Hlk205894679"/>
      <w:r>
        <w:t xml:space="preserve">Чтобы загрузить акт расчетов нажать в строке счета кнопку </w:t>
      </w:r>
      <w:r>
        <w:rPr>
          <w:lang w:eastAsia="ru-RU"/>
        </w:rPr>
        <w:drawing>
          <wp:inline distT="0" distB="0" distL="0" distR="0">
            <wp:extent cx="180975" cy="247650"/>
            <wp:effectExtent l="19050" t="19050" r="9525" b="19050"/>
            <wp:docPr id="16518172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817280" name="Рисунок 1"/>
                    <pic:cNvPicPr>
                      <a:picLocks noChangeAspect="1"/>
                    </pic:cNvPicPr>
                  </pic:nvPicPr>
                  <pic:blipFill>
                    <a:blip r:embed="rId51"/>
                    <a:stretch>
                      <a:fillRect/>
                    </a:stretch>
                  </pic:blipFill>
                  <pic:spPr>
                    <a:xfrm>
                      <a:off x="0" y="0"/>
                      <a:ext cx="181000" cy="247685"/>
                    </a:xfrm>
                    <a:prstGeom prst="rect">
                      <a:avLst/>
                    </a:prstGeom>
                    <a:ln w="3175" cmpd="sng">
                      <a:solidFill>
                        <a:srgbClr val="000000"/>
                      </a:solidFill>
                    </a:ln>
                  </pic:spPr>
                </pic:pic>
              </a:graphicData>
            </a:graphic>
          </wp:inline>
        </w:drawing>
      </w:r>
      <w:r>
        <w:t xml:space="preserve"> «Скачать» в столбце «Сумма по акту расчёта, руб» </w:t>
      </w:r>
      <w:bookmarkEnd w:id="1390"/>
      <w:r>
        <w:t xml:space="preserve">(рис. </w:t>
      </w:r>
      <w:r>
        <w:fldChar w:fldCharType="begin"/>
      </w:r>
      <w:r>
        <w:instrText xml:space="preserve"> REF  _Ref147151404 \h\#\0   \* MERGEFORMAT </w:instrText>
      </w:r>
      <w:r>
        <w:fldChar w:fldCharType="separate"/>
      </w:r>
      <w:r>
        <w:t>28</w:t>
      </w:r>
      <w:r>
        <w:fldChar w:fldCharType="end"/>
      </w:r>
      <w:r>
        <w:t>).</w:t>
      </w:r>
    </w:p>
    <w:p w14:paraId="544D4611">
      <w:pPr>
        <w:pStyle w:val="73"/>
      </w:pPr>
      <w:r>
        <w:drawing>
          <wp:inline distT="0" distB="0" distL="0" distR="0">
            <wp:extent cx="6120765" cy="871855"/>
            <wp:effectExtent l="19050" t="19050" r="13335" b="23495"/>
            <wp:docPr id="15016504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65044" name="Рисунок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6120765" cy="871855"/>
                    </a:xfrm>
                    <a:prstGeom prst="rect">
                      <a:avLst/>
                    </a:prstGeom>
                    <a:noFill/>
                    <a:ln w="3175" cmpd="sng">
                      <a:solidFill>
                        <a:srgbClr val="000000"/>
                      </a:solidFill>
                    </a:ln>
                  </pic:spPr>
                </pic:pic>
              </a:graphicData>
            </a:graphic>
          </wp:inline>
        </w:drawing>
      </w:r>
    </w:p>
    <w:p w14:paraId="3385DAFC">
      <w:pPr>
        <w:pStyle w:val="74"/>
      </w:pPr>
      <w:r>
        <w:t xml:space="preserve">Рисунок </w:t>
      </w:r>
      <w:r>
        <w:fldChar w:fldCharType="begin"/>
      </w:r>
      <w:r>
        <w:instrText xml:space="preserve"> SEQ Рисунок \* ARABIC </w:instrText>
      </w:r>
      <w:r>
        <w:fldChar w:fldCharType="separate"/>
      </w:r>
      <w:r>
        <w:t>30</w:t>
      </w:r>
      <w:r>
        <w:fldChar w:fldCharType="end"/>
      </w:r>
      <w:r>
        <w:t xml:space="preserve"> — </w:t>
      </w:r>
      <w:bookmarkStart w:id="1391" w:name="_Hlk205894721"/>
      <w:r>
        <w:t>Реестр счетов. Скачивание акта расчета</w:t>
      </w:r>
      <w:bookmarkEnd w:id="1391"/>
    </w:p>
    <w:p w14:paraId="312EC319">
      <w:pPr>
        <w:pStyle w:val="69"/>
      </w:pPr>
      <w:r>
        <w:t xml:space="preserve">Пример загруженного </w:t>
      </w:r>
      <w:bookmarkStart w:id="1392" w:name="_Hlk205894711"/>
      <w:r>
        <w:t xml:space="preserve">акта расчетов </w:t>
      </w:r>
      <w:bookmarkEnd w:id="1392"/>
      <w:r>
        <w:t xml:space="preserve">приведен на рисунке </w:t>
      </w:r>
      <w:r>
        <w:fldChar w:fldCharType="begin"/>
      </w:r>
      <w:r>
        <w:instrText xml:space="preserve"> REF  _Ref206074137 \h \t\#\0   \* MERGEFORMAT </w:instrText>
      </w:r>
      <w:r>
        <w:fldChar w:fldCharType="separate"/>
      </w:r>
      <w:r>
        <w:t>31</w:t>
      </w:r>
      <w:r>
        <w:fldChar w:fldCharType="end"/>
      </w:r>
      <w:r>
        <w:t>.</w:t>
      </w:r>
    </w:p>
    <w:p w14:paraId="69FF6FD8">
      <w:pPr>
        <w:pStyle w:val="73"/>
      </w:pPr>
      <w:r>
        <w:drawing>
          <wp:inline distT="0" distB="0" distL="0" distR="0">
            <wp:extent cx="4102100" cy="8877935"/>
            <wp:effectExtent l="19050" t="19050" r="12700" b="18415"/>
            <wp:docPr id="41016838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68386" name="Рисунок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108780" cy="8891890"/>
                    </a:xfrm>
                    <a:prstGeom prst="rect">
                      <a:avLst/>
                    </a:prstGeom>
                    <a:noFill/>
                    <a:ln w="3175" cmpd="sng">
                      <a:solidFill>
                        <a:srgbClr val="000000"/>
                      </a:solidFill>
                    </a:ln>
                  </pic:spPr>
                </pic:pic>
              </a:graphicData>
            </a:graphic>
          </wp:inline>
        </w:drawing>
      </w:r>
    </w:p>
    <w:p w14:paraId="0772A28A">
      <w:pPr>
        <w:pStyle w:val="74"/>
      </w:pPr>
      <w:bookmarkStart w:id="1393" w:name="_Ref206074137"/>
      <w:r>
        <w:t xml:space="preserve">Рисунок </w:t>
      </w:r>
      <w:r>
        <w:fldChar w:fldCharType="begin"/>
      </w:r>
      <w:r>
        <w:instrText xml:space="preserve"> SEQ Рисунок \* ARABIC </w:instrText>
      </w:r>
      <w:r>
        <w:fldChar w:fldCharType="separate"/>
      </w:r>
      <w:r>
        <w:t>31</w:t>
      </w:r>
      <w:r>
        <w:fldChar w:fldCharType="end"/>
      </w:r>
      <w:bookmarkEnd w:id="1393"/>
      <w:r>
        <w:t xml:space="preserve"> — </w:t>
      </w:r>
      <w:bookmarkStart w:id="1394" w:name="_Hlk205894738"/>
      <w:r>
        <w:t>Пример акта расчетов</w:t>
      </w:r>
      <w:bookmarkEnd w:id="1394"/>
    </w:p>
    <w:bookmarkEnd w:id="1381"/>
    <w:bookmarkEnd w:id="1389"/>
    <w:p w14:paraId="13ED1102">
      <w:pPr>
        <w:pStyle w:val="60"/>
      </w:pPr>
      <w:bookmarkStart w:id="1395" w:name="_Ref206015677"/>
      <w:bookmarkStart w:id="1396" w:name="_Toc225866325"/>
      <w:bookmarkStart w:id="1397" w:name="_Hlk205823365"/>
      <w:r>
        <w:t>Просмотр реестра медицинских услуг, оказанных МО в отчетном периоде</w:t>
      </w:r>
      <w:bookmarkEnd w:id="1395"/>
      <w:bookmarkEnd w:id="1396"/>
    </w:p>
    <w:bookmarkEnd w:id="1397"/>
    <w:p w14:paraId="28ED457F">
      <w:pPr>
        <w:pStyle w:val="69"/>
      </w:pPr>
      <w:bookmarkStart w:id="1398" w:name="_Hlk206122637"/>
      <w:bookmarkStart w:id="1399" w:name="_Hlk166503079"/>
      <w:bookmarkStart w:id="1400" w:name="_Hlk205823433"/>
      <w:bookmarkStart w:id="1401" w:name="_Hlk205894786"/>
      <w:r>
        <w:t>В счет каждой МО входит единый U-файл, который содержит данные по всем СЭФД, отнесенным к данному Плательщику. Файл формата XML содержит отчетную информацию по реестру медицинских услуг, оказанных в отчетном периоде.</w:t>
      </w:r>
    </w:p>
    <w:p w14:paraId="318FDFDF">
      <w:pPr>
        <w:pStyle w:val="69"/>
      </w:pPr>
      <w:r>
        <w:t>В регламентные сроки подачи счетов МО вправе вносить изменения (исправлять ошибки) в первичные документы СЭФД (АМБ, СТЦ и СМП). Медицинская организация после корректировки СЭФД повторно формирует и отправляет единый счет по всем медицинским услугам, вошедшим в счет данной МО. Повторно сформированному счету присваивается новый порядковый номер версии.</w:t>
      </w:r>
    </w:p>
    <w:p w14:paraId="778C3378">
      <w:pPr>
        <w:pStyle w:val="69"/>
      </w:pPr>
      <w:r>
        <w:t>Просмотреть U-файл можно в разделе «Информационный обмен», загрузив информационную посылку. Описание действий приведено в</w:t>
      </w:r>
      <w:bookmarkEnd w:id="1398"/>
      <w:r>
        <w:t xml:space="preserve"> </w:t>
      </w:r>
      <w:r>
        <w:fldChar w:fldCharType="begin"/>
      </w:r>
      <w:r>
        <w:instrText xml:space="preserve"> REF _Ref225783211 \n \h </w:instrText>
      </w:r>
      <w:r>
        <w:fldChar w:fldCharType="separate"/>
      </w:r>
      <w:r>
        <w:t>4.3</w:t>
      </w:r>
      <w:r>
        <w:fldChar w:fldCharType="end"/>
      </w:r>
      <w:r>
        <w:t>.</w:t>
      </w:r>
    </w:p>
    <w:bookmarkEnd w:id="1399"/>
    <w:bookmarkEnd w:id="1400"/>
    <w:bookmarkEnd w:id="1401"/>
    <w:p w14:paraId="270114E1">
      <w:pPr>
        <w:pStyle w:val="60"/>
        <w:rPr>
          <w:lang w:eastAsia="en-US"/>
        </w:rPr>
      </w:pPr>
      <w:bookmarkStart w:id="1402" w:name="_Ref162430435"/>
      <w:bookmarkStart w:id="1403" w:name="_Toc155773768"/>
      <w:bookmarkStart w:id="1404" w:name="_Ref162430234"/>
      <w:bookmarkStart w:id="1405" w:name="_Toc225866326"/>
      <w:r>
        <w:rPr>
          <w:lang w:eastAsia="en-US"/>
        </w:rPr>
        <w:t>Проведение МЭК</w:t>
      </w:r>
      <w:bookmarkEnd w:id="1402"/>
      <w:bookmarkEnd w:id="1403"/>
      <w:bookmarkEnd w:id="1404"/>
      <w:bookmarkEnd w:id="1405"/>
    </w:p>
    <w:p w14:paraId="46E11BB9">
      <w:pPr>
        <w:pStyle w:val="69"/>
      </w:pPr>
      <w:bookmarkStart w:id="1406" w:name="_Hlk154482378"/>
      <w:r>
        <w:t xml:space="preserve">Операция доступна пользователю с ролью «Администратор счетов субъекта» </w:t>
      </w:r>
      <w:bookmarkStart w:id="1407" w:name="_Hlk206007859"/>
      <w:r>
        <w:t>в разделе «Реестр счетов».</w:t>
      </w:r>
      <w:bookmarkEnd w:id="1407"/>
    </w:p>
    <w:p w14:paraId="594EC562">
      <w:pPr>
        <w:pStyle w:val="69"/>
      </w:pPr>
      <w:r>
        <w:t xml:space="preserve">После получения счета МО </w:t>
      </w:r>
      <w:bookmarkStart w:id="1408" w:name="_Hlk205894889"/>
      <w:r>
        <w:t>Администратор счетов субъекта</w:t>
      </w:r>
      <w:bookmarkEnd w:id="1408"/>
      <w:r>
        <w:t xml:space="preserve"> проводит медико-экономический контроль (МЭК) в целях установления соответствия сведений об объемах и стоимости оказанной застрахованным лицам МП на основании представленных к оплате медицинской организацией реестров счетов:</w:t>
      </w:r>
    </w:p>
    <w:p w14:paraId="739B552D">
      <w:pPr>
        <w:pStyle w:val="76"/>
      </w:pPr>
      <w:r>
        <w:t>условиям договоров на оказание и оплату МП по ОМС или договоров на оказание и оплату МП в рамках базовой программы ОМС программам ОМС;</w:t>
      </w:r>
    </w:p>
    <w:p w14:paraId="291F997C">
      <w:pPr>
        <w:pStyle w:val="76"/>
      </w:pPr>
      <w:r>
        <w:t>объемам предоставления и финансового обеспечения медицинской помощи;</w:t>
      </w:r>
    </w:p>
    <w:p w14:paraId="3C4FE085">
      <w:pPr>
        <w:pStyle w:val="76"/>
      </w:pPr>
      <w:r>
        <w:t>способам оплаты МП и тарифам на оплату МП.</w:t>
      </w:r>
    </w:p>
    <w:p w14:paraId="3629BBCC">
      <w:pPr>
        <w:pStyle w:val="69"/>
      </w:pPr>
      <w:r>
        <w:t>Несоответствие данных счета одному из контролей является признаком того, что соответствующий законченный случай оказания МП (СЭФД) будет снят с оплаты в полном объеме.</w:t>
      </w:r>
    </w:p>
    <w:p w14:paraId="7B85E1BF">
      <w:pPr>
        <w:pStyle w:val="69"/>
      </w:pPr>
      <w:r>
        <w:t>В открытом отчетном периоде медицинская организация после получения предварительного ответа плательщика имеет возможность внести изменения в СЭФД в режиме редактирования в случае выявления ошибок по результатам МЭК.</w:t>
      </w:r>
    </w:p>
    <w:p w14:paraId="5A32565E">
      <w:pPr>
        <w:pStyle w:val="69"/>
      </w:pPr>
      <w:r>
        <w:t>После закрытия отчетного периода отзыв счетов для редактирования СЭФД недоступен.</w:t>
      </w:r>
    </w:p>
    <w:p w14:paraId="331D2632">
      <w:pPr>
        <w:pStyle w:val="61"/>
      </w:pPr>
      <w:bookmarkStart w:id="1409" w:name="_Hlk205823808"/>
      <w:r>
        <w:t>Инициация выполнения МЭК счета</w:t>
      </w:r>
    </w:p>
    <w:bookmarkEnd w:id="1409"/>
    <w:p w14:paraId="0C5ABFC2">
      <w:pPr>
        <w:pStyle w:val="69"/>
      </w:pPr>
      <w:bookmarkStart w:id="1410" w:name="_Hlk205823880"/>
      <w:r>
        <w:t>Выбрать в ленте главного меню вкладку «Реестр счетов».</w:t>
      </w:r>
    </w:p>
    <w:p w14:paraId="107B36AB">
      <w:pPr>
        <w:pStyle w:val="69"/>
      </w:pPr>
      <w:r>
        <w:t>В рабочей области отобразится «Реестр счетов», содержащий список сформированных счетов.</w:t>
      </w:r>
    </w:p>
    <w:p w14:paraId="053CD843">
      <w:pPr>
        <w:pStyle w:val="69"/>
      </w:pPr>
      <w:r>
        <w:t>В панели «Фильтр» указать необходимый отчетный период, заполнив поле «Отчётный период». Можно заполнить поле «OID МО» для более узкого результата поиска. Осуществить поиск, нажатием кнопки «Найти».</w:t>
      </w:r>
    </w:p>
    <w:bookmarkEnd w:id="1410"/>
    <w:p w14:paraId="73149569">
      <w:pPr>
        <w:pStyle w:val="69"/>
      </w:pPr>
      <w:bookmarkStart w:id="1411" w:name="_Hlk205823912"/>
      <w:r>
        <w:t xml:space="preserve">В рабочей области отобразятся все счета, удовлетворяющие заданным критериям поиска </w:t>
      </w:r>
      <w:bookmarkEnd w:id="1411"/>
      <w:r>
        <w:t xml:space="preserve">(рис. </w:t>
      </w:r>
      <w:r>
        <w:fldChar w:fldCharType="begin"/>
      </w:r>
      <w:r>
        <w:instrText xml:space="preserve"> REF  _Ref202976811 \h\#\0   \* MERGEFORMAT </w:instrText>
      </w:r>
      <w:r>
        <w:fldChar w:fldCharType="separate"/>
      </w:r>
      <w:r>
        <w:t>32</w:t>
      </w:r>
      <w:r>
        <w:fldChar w:fldCharType="end"/>
      </w:r>
      <w:r>
        <w:t>).</w:t>
      </w:r>
    </w:p>
    <w:p w14:paraId="34E411B5">
      <w:pPr>
        <w:pStyle w:val="73"/>
      </w:pPr>
      <w:r>
        <w:drawing>
          <wp:inline distT="0" distB="0" distL="0" distR="0">
            <wp:extent cx="6120765" cy="2999740"/>
            <wp:effectExtent l="19050" t="19050" r="13335" b="10160"/>
            <wp:docPr id="5690919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091966" name="Рисунок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6120765" cy="2999740"/>
                    </a:xfrm>
                    <a:prstGeom prst="rect">
                      <a:avLst/>
                    </a:prstGeom>
                    <a:noFill/>
                    <a:ln w="3175" cmpd="sng">
                      <a:solidFill>
                        <a:srgbClr val="000000"/>
                      </a:solidFill>
                    </a:ln>
                  </pic:spPr>
                </pic:pic>
              </a:graphicData>
            </a:graphic>
          </wp:inline>
        </w:drawing>
      </w:r>
    </w:p>
    <w:p w14:paraId="78BE6CE1">
      <w:pPr>
        <w:pStyle w:val="74"/>
      </w:pPr>
      <w:bookmarkStart w:id="1412" w:name="_Ref202976811"/>
      <w:r>
        <w:t xml:space="preserve">Рисунок </w:t>
      </w:r>
      <w:r>
        <w:fldChar w:fldCharType="begin"/>
      </w:r>
      <w:r>
        <w:instrText xml:space="preserve"> SEQ Рисунок \* ARABIC </w:instrText>
      </w:r>
      <w:r>
        <w:fldChar w:fldCharType="separate"/>
      </w:r>
      <w:r>
        <w:t>32</w:t>
      </w:r>
      <w:r>
        <w:fldChar w:fldCharType="end"/>
      </w:r>
      <w:bookmarkEnd w:id="1412"/>
      <w:r>
        <w:t xml:space="preserve"> — Реестр счетов</w:t>
      </w:r>
    </w:p>
    <w:p w14:paraId="0FE562AA">
      <w:pPr>
        <w:pStyle w:val="69"/>
      </w:pPr>
      <w:bookmarkStart w:id="1413" w:name="_Hlk205823952"/>
      <w:r>
        <w:t xml:space="preserve">Для того, чтобы выполнить МЭК, выбрать нужный счет в статусе счета «Отправлен» и нажать кнопку «Выполнить МЭК» (рис.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162528891 \</w:instrText>
      </w:r>
      <w:r>
        <w:rPr>
          <w:lang w:val="en-US"/>
        </w:rPr>
        <w:instrText xml:space="preserve">h</w:instrText>
      </w:r>
      <w:r>
        <w:instrText xml:space="preserve">\#\0   \* </w:instrText>
      </w:r>
      <w:r>
        <w:rPr>
          <w:lang w:val="en-US"/>
        </w:rPr>
        <w:instrText xml:space="preserve">MERGEFORMAT</w:instrText>
      </w:r>
      <w:r>
        <w:instrText xml:space="preserve"> </w:instrText>
      </w:r>
      <w:r>
        <w:rPr>
          <w:lang w:val="en-US"/>
        </w:rPr>
        <w:fldChar w:fldCharType="separate"/>
      </w:r>
      <w:r>
        <w:t>33</w:t>
      </w:r>
      <w:r>
        <w:rPr>
          <w:lang w:val="en-US"/>
        </w:rPr>
        <w:fldChar w:fldCharType="end"/>
      </w:r>
      <w:r>
        <w:t>).</w:t>
      </w:r>
      <w:bookmarkEnd w:id="1413"/>
    </w:p>
    <w:p w14:paraId="24D156C3">
      <w:pPr>
        <w:pStyle w:val="73"/>
      </w:pPr>
      <w:bookmarkStart w:id="1414" w:name="_Hlk205823967"/>
      <w:r>
        <w:drawing>
          <wp:inline distT="0" distB="0" distL="0" distR="0">
            <wp:extent cx="6119495" cy="713740"/>
            <wp:effectExtent l="19050" t="19050" r="14605" b="10160"/>
            <wp:docPr id="1329168222" name="Изображе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168222" name="Изображение 4"/>
                    <pic:cNvPicPr>
                      <a:picLocks noChangeAspect="1"/>
                    </pic:cNvPicPr>
                  </pic:nvPicPr>
                  <pic:blipFill>
                    <a:blip r:embed="rId57"/>
                    <a:stretch>
                      <a:fillRect/>
                    </a:stretch>
                  </pic:blipFill>
                  <pic:spPr>
                    <a:xfrm>
                      <a:off x="0" y="0"/>
                      <a:ext cx="6119495" cy="713740"/>
                    </a:xfrm>
                    <a:prstGeom prst="rect">
                      <a:avLst/>
                    </a:prstGeom>
                    <a:noFill/>
                    <a:ln w="3175" cmpd="sng">
                      <a:solidFill>
                        <a:srgbClr val="000000"/>
                      </a:solidFill>
                    </a:ln>
                  </pic:spPr>
                </pic:pic>
              </a:graphicData>
            </a:graphic>
          </wp:inline>
        </w:drawing>
      </w:r>
    </w:p>
    <w:p w14:paraId="6E06C56F">
      <w:pPr>
        <w:pStyle w:val="74"/>
      </w:pPr>
      <w:bookmarkStart w:id="1415" w:name="_Ref162528891"/>
      <w:r>
        <w:t xml:space="preserve">Рисунок </w:t>
      </w:r>
      <w:r>
        <w:fldChar w:fldCharType="begin"/>
      </w:r>
      <w:r>
        <w:instrText xml:space="preserve"> SEQ Рисунок \* ARABIC </w:instrText>
      </w:r>
      <w:r>
        <w:fldChar w:fldCharType="separate"/>
      </w:r>
      <w:r>
        <w:t>33</w:t>
      </w:r>
      <w:r>
        <w:fldChar w:fldCharType="end"/>
      </w:r>
      <w:bookmarkEnd w:id="1415"/>
      <w:r>
        <w:t xml:space="preserve"> — Выбор счета для выполнения МЭК</w:t>
      </w:r>
    </w:p>
    <w:bookmarkEnd w:id="1406"/>
    <w:bookmarkEnd w:id="1414"/>
    <w:p w14:paraId="6440F37C">
      <w:pPr>
        <w:pStyle w:val="69"/>
      </w:pPr>
      <w:bookmarkStart w:id="1416" w:name="_Hlk205823988"/>
      <w:r>
        <w:t xml:space="preserve">Запустится процесс выполнения МЭК. В столбце «Статус МЭК» текущее состояние изменится на значение «Идет выполнение МЭК счёта». Для обновления статуса МЭК нажать кнопку </w:t>
      </w:r>
      <w:r>
        <w:drawing>
          <wp:inline distT="0" distB="0" distL="0" distR="0">
            <wp:extent cx="171450" cy="152400"/>
            <wp:effectExtent l="19050" t="19050" r="19050" b="19050"/>
            <wp:docPr id="1489240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4003" name="Рисунок 1"/>
                    <pic:cNvPicPr>
                      <a:picLocks noChangeAspect="1"/>
                    </pic:cNvPicPr>
                  </pic:nvPicPr>
                  <pic:blipFill>
                    <a:blip r:embed="rId58"/>
                    <a:stretch>
                      <a:fillRect/>
                    </a:stretch>
                  </pic:blipFill>
                  <pic:spPr>
                    <a:xfrm>
                      <a:off x="0" y="0"/>
                      <a:ext cx="171474" cy="152421"/>
                    </a:xfrm>
                    <a:prstGeom prst="rect">
                      <a:avLst/>
                    </a:prstGeom>
                    <a:ln w="3175" cmpd="sng">
                      <a:solidFill>
                        <a:srgbClr val="000000"/>
                      </a:solidFill>
                    </a:ln>
                  </pic:spPr>
                </pic:pic>
              </a:graphicData>
            </a:graphic>
          </wp:inline>
        </w:drawing>
      </w:r>
      <w:r>
        <w:t xml:space="preserve"> «Обновить» (рис. </w:t>
      </w:r>
      <w:r>
        <w:fldChar w:fldCharType="begin"/>
      </w:r>
      <w:r>
        <w:instrText xml:space="preserve"> REF  _Ref204880239 \h \t\#\0   \* MERGEFORMAT </w:instrText>
      </w:r>
      <w:r>
        <w:fldChar w:fldCharType="separate"/>
      </w:r>
      <w:r>
        <w:t>34</w:t>
      </w:r>
      <w:r>
        <w:fldChar w:fldCharType="end"/>
      </w:r>
      <w:r>
        <w:t>).</w:t>
      </w:r>
    </w:p>
    <w:p w14:paraId="07A8B781">
      <w:pPr>
        <w:pStyle w:val="73"/>
      </w:pPr>
      <w:r>
        <w:drawing>
          <wp:inline distT="0" distB="0" distL="0" distR="0">
            <wp:extent cx="6119495" cy="1022985"/>
            <wp:effectExtent l="19050" t="19050" r="14605" b="24765"/>
            <wp:docPr id="5145417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541771" name="Рисунок 1"/>
                    <pic:cNvPicPr>
                      <a:picLocks noChangeAspect="1"/>
                    </pic:cNvPicPr>
                  </pic:nvPicPr>
                  <pic:blipFill>
                    <a:blip r:embed="rId59"/>
                    <a:stretch>
                      <a:fillRect/>
                    </a:stretch>
                  </pic:blipFill>
                  <pic:spPr>
                    <a:xfrm>
                      <a:off x="0" y="0"/>
                      <a:ext cx="6119495" cy="1022985"/>
                    </a:xfrm>
                    <a:prstGeom prst="rect">
                      <a:avLst/>
                    </a:prstGeom>
                    <a:ln w="3175" cmpd="sng">
                      <a:solidFill>
                        <a:srgbClr val="000000"/>
                      </a:solidFill>
                    </a:ln>
                  </pic:spPr>
                </pic:pic>
              </a:graphicData>
            </a:graphic>
          </wp:inline>
        </w:drawing>
      </w:r>
    </w:p>
    <w:p w14:paraId="2D9792D0">
      <w:pPr>
        <w:pStyle w:val="74"/>
      </w:pPr>
      <w:bookmarkStart w:id="1417" w:name="_Ref204880239"/>
      <w:r>
        <w:t xml:space="preserve">Рисунок </w:t>
      </w:r>
      <w:r>
        <w:fldChar w:fldCharType="begin"/>
      </w:r>
      <w:r>
        <w:instrText xml:space="preserve"> SEQ Рисунок \* ARABIC </w:instrText>
      </w:r>
      <w:r>
        <w:fldChar w:fldCharType="separate"/>
      </w:r>
      <w:r>
        <w:t>34</w:t>
      </w:r>
      <w:r>
        <w:fldChar w:fldCharType="end"/>
      </w:r>
      <w:bookmarkEnd w:id="1417"/>
      <w:r>
        <w:t xml:space="preserve"> — Обновление статуса МЭК</w:t>
      </w:r>
    </w:p>
    <w:bookmarkEnd w:id="1416"/>
    <w:p w14:paraId="17BCD248">
      <w:pPr>
        <w:pStyle w:val="69"/>
      </w:pPr>
      <w:bookmarkStart w:id="1418" w:name="_Hlk205824009"/>
      <w:bookmarkStart w:id="1419" w:name="_Hlk166503270"/>
      <w:r>
        <w:t>По завершении МЭК статус МЭК изменится на «МЭК счета выполнен» (рис.</w:t>
      </w:r>
      <w:r>
        <w:rPr>
          <w:lang w:val="en-US"/>
        </w:rPr>
        <w:t> </w:t>
      </w:r>
      <w:r>
        <w:fldChar w:fldCharType="begin"/>
      </w:r>
      <w:r>
        <w:instrText xml:space="preserve"> REF  _Ref162528766 \h\#\0   \* MERGEFORMAT </w:instrText>
      </w:r>
      <w:r>
        <w:fldChar w:fldCharType="separate"/>
      </w:r>
      <w:r>
        <w:t>35</w:t>
      </w:r>
      <w:r>
        <w:fldChar w:fldCharType="end"/>
      </w:r>
      <w:r>
        <w:t>).</w:t>
      </w:r>
    </w:p>
    <w:p w14:paraId="41DBC802">
      <w:pPr>
        <w:pStyle w:val="73"/>
      </w:pPr>
      <w:r>
        <w:drawing>
          <wp:inline distT="0" distB="0" distL="0" distR="0">
            <wp:extent cx="6119495" cy="803275"/>
            <wp:effectExtent l="19050" t="19050" r="14605" b="15875"/>
            <wp:docPr id="2014580667" name="Изображе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580667" name="Изображение 7"/>
                    <pic:cNvPicPr>
                      <a:picLocks noChangeAspect="1"/>
                    </pic:cNvPicPr>
                  </pic:nvPicPr>
                  <pic:blipFill>
                    <a:blip r:embed="rId60"/>
                    <a:stretch>
                      <a:fillRect/>
                    </a:stretch>
                  </pic:blipFill>
                  <pic:spPr>
                    <a:xfrm>
                      <a:off x="0" y="0"/>
                      <a:ext cx="6119495" cy="803275"/>
                    </a:xfrm>
                    <a:prstGeom prst="rect">
                      <a:avLst/>
                    </a:prstGeom>
                    <a:noFill/>
                    <a:ln w="3175" cmpd="sng">
                      <a:solidFill>
                        <a:srgbClr val="000000"/>
                      </a:solidFill>
                    </a:ln>
                  </pic:spPr>
                </pic:pic>
              </a:graphicData>
            </a:graphic>
          </wp:inline>
        </w:drawing>
      </w:r>
    </w:p>
    <w:p w14:paraId="2794C2E1">
      <w:pPr>
        <w:pStyle w:val="74"/>
      </w:pPr>
      <w:bookmarkStart w:id="1420" w:name="_Ref162528766"/>
      <w:r>
        <w:t xml:space="preserve">Рисунок </w:t>
      </w:r>
      <w:r>
        <w:fldChar w:fldCharType="begin"/>
      </w:r>
      <w:r>
        <w:instrText xml:space="preserve"> SEQ Рисунок \* ARABIC </w:instrText>
      </w:r>
      <w:r>
        <w:fldChar w:fldCharType="separate"/>
      </w:r>
      <w:r>
        <w:t>35</w:t>
      </w:r>
      <w:r>
        <w:fldChar w:fldCharType="end"/>
      </w:r>
      <w:bookmarkEnd w:id="1420"/>
      <w:r>
        <w:t xml:space="preserve"> — Успешное выполнение МЭК</w:t>
      </w:r>
    </w:p>
    <w:bookmarkEnd w:id="1418"/>
    <w:p w14:paraId="3FAA929B">
      <w:pPr>
        <w:pStyle w:val="61"/>
      </w:pPr>
      <w:bookmarkStart w:id="1421" w:name="_Hlk205824059"/>
      <w:r>
        <w:t>Формирование документов МЭК счета</w:t>
      </w:r>
    </w:p>
    <w:p w14:paraId="7D6FE55E">
      <w:pPr>
        <w:pStyle w:val="69"/>
      </w:pPr>
      <w:r>
        <w:t>После завершения процесса выполнения МЭК необходимо сформировать документы МЭК:</w:t>
      </w:r>
    </w:p>
    <w:p w14:paraId="3362C6EA">
      <w:pPr>
        <w:pStyle w:val="76"/>
      </w:pPr>
      <w:r>
        <w:t>«Заключение о результатах МЭК»;</w:t>
      </w:r>
    </w:p>
    <w:p w14:paraId="435DAF59">
      <w:pPr>
        <w:pStyle w:val="76"/>
      </w:pPr>
      <w:r>
        <w:t>«Реестр заключений по результатам МЭК».</w:t>
      </w:r>
    </w:p>
    <w:p w14:paraId="7D2A9F2F">
      <w:pPr>
        <w:pStyle w:val="69"/>
      </w:pPr>
      <w:r>
        <w:t xml:space="preserve">Для этого выделить счет со статусом МЭК «МЭК счета выполнен» и нажать кнопку «Сформировать МЭК счета» (рис. </w:t>
      </w:r>
      <w:r>
        <w:fldChar w:fldCharType="begin"/>
      </w:r>
      <w:r>
        <w:instrText xml:space="preserve"> REF  _Ref202979718 \h\#\0   \* MERGEFORMAT </w:instrText>
      </w:r>
      <w:r>
        <w:fldChar w:fldCharType="separate"/>
      </w:r>
      <w:r>
        <w:t>36</w:t>
      </w:r>
      <w:r>
        <w:fldChar w:fldCharType="end"/>
      </w:r>
      <w:r>
        <w:t>).</w:t>
      </w:r>
    </w:p>
    <w:p w14:paraId="3B863327">
      <w:pPr>
        <w:pStyle w:val="73"/>
      </w:pPr>
      <w:r>
        <w:drawing>
          <wp:inline distT="0" distB="0" distL="0" distR="0">
            <wp:extent cx="6119495" cy="765810"/>
            <wp:effectExtent l="19050" t="19050" r="14605" b="15240"/>
            <wp:docPr id="1291279384" name="Изображе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79384" name="Изображение 9"/>
                    <pic:cNvPicPr>
                      <a:picLocks noChangeAspect="1"/>
                    </pic:cNvPicPr>
                  </pic:nvPicPr>
                  <pic:blipFill>
                    <a:blip r:embed="rId61"/>
                    <a:stretch>
                      <a:fillRect/>
                    </a:stretch>
                  </pic:blipFill>
                  <pic:spPr>
                    <a:xfrm>
                      <a:off x="0" y="0"/>
                      <a:ext cx="6119495" cy="765810"/>
                    </a:xfrm>
                    <a:prstGeom prst="rect">
                      <a:avLst/>
                    </a:prstGeom>
                    <a:noFill/>
                    <a:ln w="3175" cmpd="sng">
                      <a:solidFill>
                        <a:srgbClr val="000000"/>
                      </a:solidFill>
                    </a:ln>
                  </pic:spPr>
                </pic:pic>
              </a:graphicData>
            </a:graphic>
          </wp:inline>
        </w:drawing>
      </w:r>
    </w:p>
    <w:p w14:paraId="71DDFAEC">
      <w:pPr>
        <w:pStyle w:val="74"/>
      </w:pPr>
      <w:bookmarkStart w:id="1422" w:name="_Ref202979718"/>
      <w:r>
        <w:t xml:space="preserve">Рисунок </w:t>
      </w:r>
      <w:r>
        <w:fldChar w:fldCharType="begin"/>
      </w:r>
      <w:r>
        <w:instrText xml:space="preserve"> SEQ Рисунок \* ARABIC </w:instrText>
      </w:r>
      <w:r>
        <w:fldChar w:fldCharType="separate"/>
      </w:r>
      <w:r>
        <w:t>36</w:t>
      </w:r>
      <w:r>
        <w:fldChar w:fldCharType="end"/>
      </w:r>
      <w:bookmarkEnd w:id="1422"/>
      <w:r>
        <w:t xml:space="preserve"> — Формирование МЭК счета</w:t>
      </w:r>
    </w:p>
    <w:p w14:paraId="61E3B53E">
      <w:pPr>
        <w:pStyle w:val="69"/>
        <w:rPr>
          <w:szCs w:val="28"/>
          <w:lang w:eastAsia="ru-RU"/>
        </w:rPr>
      </w:pPr>
      <w:r>
        <w:t xml:space="preserve">Статус МЭК изменится на «Документы МЭК счета формируются». Для обновления статуса МЭК нажать кнопку </w:t>
      </w:r>
      <w:r>
        <w:drawing>
          <wp:inline distT="0" distB="0" distL="0" distR="0">
            <wp:extent cx="171450" cy="152400"/>
            <wp:effectExtent l="19050" t="19050" r="19050" b="19050"/>
            <wp:docPr id="6694833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483359" name="Рисунок 1"/>
                    <pic:cNvPicPr>
                      <a:picLocks noChangeAspect="1"/>
                    </pic:cNvPicPr>
                  </pic:nvPicPr>
                  <pic:blipFill>
                    <a:blip r:embed="rId58"/>
                    <a:stretch>
                      <a:fillRect/>
                    </a:stretch>
                  </pic:blipFill>
                  <pic:spPr>
                    <a:xfrm>
                      <a:off x="0" y="0"/>
                      <a:ext cx="171474" cy="152421"/>
                    </a:xfrm>
                    <a:prstGeom prst="rect">
                      <a:avLst/>
                    </a:prstGeom>
                    <a:ln w="3175" cmpd="sng">
                      <a:solidFill>
                        <a:srgbClr val="000000"/>
                      </a:solidFill>
                    </a:ln>
                  </pic:spPr>
                </pic:pic>
              </a:graphicData>
            </a:graphic>
          </wp:inline>
        </w:drawing>
      </w:r>
      <w:r>
        <w:t xml:space="preserve"> «Обновить». По завершении формирования документов </w:t>
      </w:r>
      <w:r>
        <w:rPr>
          <w:szCs w:val="28"/>
          <w:lang w:eastAsia="ru-RU"/>
        </w:rPr>
        <w:t>статус МЭК изменится на «Документы МЭК счёта сформированы».</w:t>
      </w:r>
    </w:p>
    <w:p w14:paraId="46608DFB">
      <w:pPr>
        <w:pStyle w:val="69"/>
      </w:pPr>
      <w:r>
        <w:t xml:space="preserve">Чтобы просмотреть сформированные документы МЭК, нажать пиктограмму скачивания в столбце «Версия МЭК» (рис. </w:t>
      </w:r>
      <w:r>
        <w:fldChar w:fldCharType="begin"/>
      </w:r>
      <w:r>
        <w:instrText xml:space="preserve"> REF  _Ref202979927 \h\#\0   \* MERGEFORMAT </w:instrText>
      </w:r>
      <w:r>
        <w:fldChar w:fldCharType="separate"/>
      </w:r>
      <w:r>
        <w:t>37</w:t>
      </w:r>
      <w:r>
        <w:fldChar w:fldCharType="end"/>
      </w:r>
      <w:r>
        <w:t>).</w:t>
      </w:r>
    </w:p>
    <w:p w14:paraId="30419E7F">
      <w:pPr>
        <w:pStyle w:val="73"/>
      </w:pPr>
      <w:r>
        <w:drawing>
          <wp:inline distT="0" distB="0" distL="0" distR="0">
            <wp:extent cx="6120765" cy="847725"/>
            <wp:effectExtent l="19050" t="19050" r="13335" b="28575"/>
            <wp:docPr id="7086371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63715" name="Рисунок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6120765" cy="847725"/>
                    </a:xfrm>
                    <a:prstGeom prst="rect">
                      <a:avLst/>
                    </a:prstGeom>
                    <a:noFill/>
                    <a:ln w="3175" cmpd="sng">
                      <a:solidFill>
                        <a:srgbClr val="000000"/>
                      </a:solidFill>
                    </a:ln>
                  </pic:spPr>
                </pic:pic>
              </a:graphicData>
            </a:graphic>
          </wp:inline>
        </w:drawing>
      </w:r>
    </w:p>
    <w:p w14:paraId="0FB3E405">
      <w:pPr>
        <w:pStyle w:val="74"/>
      </w:pPr>
      <w:bookmarkStart w:id="1423" w:name="_Ref202979927"/>
      <w:r>
        <w:t xml:space="preserve">Рисунок </w:t>
      </w:r>
      <w:r>
        <w:fldChar w:fldCharType="begin"/>
      </w:r>
      <w:r>
        <w:instrText xml:space="preserve"> SEQ Рисунок \* ARABIC </w:instrText>
      </w:r>
      <w:r>
        <w:fldChar w:fldCharType="separate"/>
      </w:r>
      <w:r>
        <w:t>37</w:t>
      </w:r>
      <w:r>
        <w:fldChar w:fldCharType="end"/>
      </w:r>
      <w:bookmarkEnd w:id="1423"/>
      <w:r>
        <w:t xml:space="preserve"> — Выгрузка документов МЭК</w:t>
      </w:r>
    </w:p>
    <w:p w14:paraId="2F7AD24F">
      <w:pPr>
        <w:pStyle w:val="69"/>
      </w:pPr>
      <w:r>
        <w:t xml:space="preserve">Архив с документами по результатам МЭК будет загружен. Архив содержит в себе два файла в формате </w:t>
      </w:r>
      <w:r>
        <w:rPr>
          <w:lang w:val="en-US"/>
        </w:rPr>
        <w:t>PDF</w:t>
      </w:r>
      <w:r>
        <w:t>: «Заключение по результатам МЭК» и «Реестр заключений по результатам МЭК». Документы НЕ подписаны.</w:t>
      </w:r>
    </w:p>
    <w:p w14:paraId="5477BDBB">
      <w:pPr>
        <w:pStyle w:val="61"/>
      </w:pPr>
      <w:r>
        <w:t>Подписание документов с результатами МЭК</w:t>
      </w:r>
    </w:p>
    <w:p w14:paraId="70A1EF9C">
      <w:pPr>
        <w:pStyle w:val="69"/>
      </w:pPr>
      <w:r>
        <w:t xml:space="preserve">Для того, чтобы подписать сформированные документы МЭК, необходимо выделить счет в статусе МЭК «Документы МЭК счёта сформированы» и нажать кнопку «Подписать МЭК счета» (рис. </w:t>
      </w:r>
      <w:r>
        <w:fldChar w:fldCharType="begin"/>
      </w:r>
      <w:r>
        <w:instrText xml:space="preserve"> REF  _Ref202980360 \h\#\0   \* MERGEFORMAT </w:instrText>
      </w:r>
      <w:r>
        <w:fldChar w:fldCharType="separate"/>
      </w:r>
      <w:r>
        <w:t>38</w:t>
      </w:r>
      <w:r>
        <w:fldChar w:fldCharType="end"/>
      </w:r>
      <w:r>
        <w:t>).</w:t>
      </w:r>
    </w:p>
    <w:p w14:paraId="7334819F">
      <w:pPr>
        <w:pStyle w:val="73"/>
      </w:pPr>
      <w:r>
        <w:drawing>
          <wp:inline distT="0" distB="0" distL="0" distR="0">
            <wp:extent cx="6119495" cy="868680"/>
            <wp:effectExtent l="19050" t="19050" r="14605" b="26670"/>
            <wp:docPr id="12" name="Изображение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 12"/>
                    <pic:cNvPicPr>
                      <a:picLocks noChangeAspect="1"/>
                    </pic:cNvPicPr>
                  </pic:nvPicPr>
                  <pic:blipFill>
                    <a:blip r:embed="rId63"/>
                    <a:stretch>
                      <a:fillRect/>
                    </a:stretch>
                  </pic:blipFill>
                  <pic:spPr>
                    <a:xfrm>
                      <a:off x="0" y="0"/>
                      <a:ext cx="6119495" cy="868680"/>
                    </a:xfrm>
                    <a:prstGeom prst="rect">
                      <a:avLst/>
                    </a:prstGeom>
                    <a:noFill/>
                    <a:ln w="3175" cmpd="sng">
                      <a:solidFill>
                        <a:srgbClr val="000000"/>
                      </a:solidFill>
                    </a:ln>
                  </pic:spPr>
                </pic:pic>
              </a:graphicData>
            </a:graphic>
          </wp:inline>
        </w:drawing>
      </w:r>
    </w:p>
    <w:p w14:paraId="2CECF424">
      <w:pPr>
        <w:pStyle w:val="74"/>
      </w:pPr>
      <w:bookmarkStart w:id="1424" w:name="_Ref202980360"/>
      <w:r>
        <w:t xml:space="preserve">Рисунок </w:t>
      </w:r>
      <w:r>
        <w:fldChar w:fldCharType="begin"/>
      </w:r>
      <w:r>
        <w:instrText xml:space="preserve"> SEQ Рисунок \* ARABIC </w:instrText>
      </w:r>
      <w:r>
        <w:fldChar w:fldCharType="separate"/>
      </w:r>
      <w:r>
        <w:t>38</w:t>
      </w:r>
      <w:r>
        <w:fldChar w:fldCharType="end"/>
      </w:r>
      <w:bookmarkEnd w:id="1424"/>
      <w:r>
        <w:t xml:space="preserve"> — Подписание МЭК счета</w:t>
      </w:r>
    </w:p>
    <w:p w14:paraId="7CD6A1CD">
      <w:pPr>
        <w:pStyle w:val="69"/>
      </w:pPr>
      <w:r>
        <w:t xml:space="preserve">В окне выбора подписи (рис. </w:t>
      </w:r>
      <w:r>
        <w:fldChar w:fldCharType="begin"/>
      </w:r>
      <w:r>
        <w:instrText xml:space="preserve"> REF  _Ref204880962 \h \t\#\0  \* MERGEFORMAT </w:instrText>
      </w:r>
      <w:r>
        <w:fldChar w:fldCharType="separate"/>
      </w:r>
      <w:r>
        <w:t>39</w:t>
      </w:r>
      <w:r>
        <w:fldChar w:fldCharType="end"/>
      </w:r>
      <w:r>
        <w:t>) необходимо выбрать сертификат пользователя из выпадающего списка и нажать на кнопку «Подписать».</w:t>
      </w:r>
    </w:p>
    <w:p w14:paraId="5E767951">
      <w:pPr>
        <w:pStyle w:val="73"/>
      </w:pPr>
      <w:r>
        <w:drawing>
          <wp:inline distT="0" distB="0" distL="0" distR="0">
            <wp:extent cx="3533140" cy="1851025"/>
            <wp:effectExtent l="19050" t="19050" r="10160" b="15875"/>
            <wp:docPr id="7718930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893017" name="Рисунок 1"/>
                    <pic:cNvPicPr>
                      <a:picLocks noChangeAspect="1"/>
                    </pic:cNvPicPr>
                  </pic:nvPicPr>
                  <pic:blipFill>
                    <a:blip r:embed="rId64"/>
                    <a:stretch>
                      <a:fillRect/>
                    </a:stretch>
                  </pic:blipFill>
                  <pic:spPr>
                    <a:xfrm>
                      <a:off x="0" y="0"/>
                      <a:ext cx="3533140" cy="1851025"/>
                    </a:xfrm>
                    <a:prstGeom prst="rect">
                      <a:avLst/>
                    </a:prstGeom>
                    <a:ln w="3175" cmpd="sng">
                      <a:solidFill>
                        <a:srgbClr val="000000"/>
                      </a:solidFill>
                    </a:ln>
                  </pic:spPr>
                </pic:pic>
              </a:graphicData>
            </a:graphic>
          </wp:inline>
        </w:drawing>
      </w:r>
    </w:p>
    <w:p w14:paraId="0A6C4A76">
      <w:pPr>
        <w:pStyle w:val="74"/>
      </w:pPr>
      <w:bookmarkStart w:id="1425" w:name="_Ref204880962"/>
      <w:r>
        <w:t xml:space="preserve">Рисунок </w:t>
      </w:r>
      <w:r>
        <w:fldChar w:fldCharType="begin"/>
      </w:r>
      <w:r>
        <w:instrText xml:space="preserve"> SEQ Рисунок \* ARABIC </w:instrText>
      </w:r>
      <w:r>
        <w:fldChar w:fldCharType="separate"/>
      </w:r>
      <w:r>
        <w:t>39</w:t>
      </w:r>
      <w:r>
        <w:fldChar w:fldCharType="end"/>
      </w:r>
      <w:bookmarkEnd w:id="1425"/>
      <w:r>
        <w:t xml:space="preserve"> — Выбор сертификата</w:t>
      </w:r>
    </w:p>
    <w:p w14:paraId="59764B9A">
      <w:pPr>
        <w:pStyle w:val="69"/>
      </w:pPr>
      <w:r>
        <w:t>Статус МЭК изменится на «МЭК счета подписывается». Для обновления статуса МЭК нажать кнопку «Обновить».</w:t>
      </w:r>
    </w:p>
    <w:p w14:paraId="2A3F437D">
      <w:pPr>
        <w:pStyle w:val="69"/>
      </w:pPr>
      <w:r>
        <w:t>По завершении процедуры подписания статус МЭК изменится на «МЭК счёта подписан».</w:t>
      </w:r>
    </w:p>
    <w:p w14:paraId="227F1871">
      <w:pPr>
        <w:pStyle w:val="61"/>
      </w:pPr>
      <w:r>
        <w:t>Публикация МЭК</w:t>
      </w:r>
    </w:p>
    <w:p w14:paraId="042739BC">
      <w:pPr>
        <w:pStyle w:val="69"/>
      </w:pPr>
      <w:r>
        <w:t>Для отображения результатов МЭК их необходимо опубликовать. Выделить счет в статусе МЭК «МЭК счёта подписан» и нажать кнопку «Опубликовать МЭК».</w:t>
      </w:r>
    </w:p>
    <w:p w14:paraId="5A6B5E3C">
      <w:pPr>
        <w:pStyle w:val="73"/>
      </w:pPr>
      <w:r>
        <w:drawing>
          <wp:inline distT="0" distB="0" distL="0" distR="0">
            <wp:extent cx="6119495" cy="967740"/>
            <wp:effectExtent l="19050" t="19050" r="14605" b="22860"/>
            <wp:docPr id="6684556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55657" name="Рисунок 1"/>
                    <pic:cNvPicPr>
                      <a:picLocks noChangeAspect="1"/>
                    </pic:cNvPicPr>
                  </pic:nvPicPr>
                  <pic:blipFill>
                    <a:blip r:embed="rId65"/>
                    <a:stretch>
                      <a:fillRect/>
                    </a:stretch>
                  </pic:blipFill>
                  <pic:spPr>
                    <a:xfrm>
                      <a:off x="0" y="0"/>
                      <a:ext cx="6119495" cy="967740"/>
                    </a:xfrm>
                    <a:prstGeom prst="rect">
                      <a:avLst/>
                    </a:prstGeom>
                    <a:ln w="3175" cmpd="sng">
                      <a:solidFill>
                        <a:srgbClr val="000000"/>
                      </a:solidFill>
                    </a:ln>
                  </pic:spPr>
                </pic:pic>
              </a:graphicData>
            </a:graphic>
          </wp:inline>
        </w:drawing>
      </w:r>
    </w:p>
    <w:p w14:paraId="4360186C">
      <w:pPr>
        <w:pStyle w:val="74"/>
      </w:pPr>
      <w:r>
        <w:t xml:space="preserve">Рисунок </w:t>
      </w:r>
      <w:r>
        <w:fldChar w:fldCharType="begin"/>
      </w:r>
      <w:r>
        <w:instrText xml:space="preserve"> SEQ Рисунок \* ARABIC </w:instrText>
      </w:r>
      <w:r>
        <w:fldChar w:fldCharType="separate"/>
      </w:r>
      <w:r>
        <w:t>40</w:t>
      </w:r>
      <w:r>
        <w:fldChar w:fldCharType="end"/>
      </w:r>
      <w:r>
        <w:t xml:space="preserve"> — Публикация МЭК</w:t>
      </w:r>
    </w:p>
    <w:p w14:paraId="25D317BE">
      <w:pPr>
        <w:pStyle w:val="69"/>
      </w:pPr>
      <w:r>
        <w:t xml:space="preserve">Статус МЭК изменится на «МЭК счёта опубликован» (рис. </w:t>
      </w:r>
      <w:r>
        <w:fldChar w:fldCharType="begin"/>
      </w:r>
      <w:r>
        <w:instrText xml:space="preserve"> REF  _Ref204881311 \h \t\#\0   \* MERGEFORMAT </w:instrText>
      </w:r>
      <w:r>
        <w:fldChar w:fldCharType="separate"/>
      </w:r>
      <w:r>
        <w:t>41</w:t>
      </w:r>
      <w:r>
        <w:fldChar w:fldCharType="end"/>
      </w:r>
      <w:r>
        <w:t>).</w:t>
      </w:r>
    </w:p>
    <w:p w14:paraId="2CF60A26">
      <w:pPr>
        <w:pStyle w:val="73"/>
        <w:rPr>
          <w:lang w:val="en-US"/>
        </w:rPr>
      </w:pPr>
      <w:r>
        <w:drawing>
          <wp:inline distT="0" distB="0" distL="0" distR="0">
            <wp:extent cx="6119495" cy="1299845"/>
            <wp:effectExtent l="19050" t="19050" r="14605" b="14605"/>
            <wp:docPr id="748385097" name="Изображение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85097" name="Изображение 14"/>
                    <pic:cNvPicPr>
                      <a:picLocks noChangeAspect="1"/>
                    </pic:cNvPicPr>
                  </pic:nvPicPr>
                  <pic:blipFill>
                    <a:blip r:embed="rId66"/>
                    <a:stretch>
                      <a:fillRect/>
                    </a:stretch>
                  </pic:blipFill>
                  <pic:spPr>
                    <a:xfrm>
                      <a:off x="0" y="0"/>
                      <a:ext cx="6119495" cy="1299845"/>
                    </a:xfrm>
                    <a:prstGeom prst="rect">
                      <a:avLst/>
                    </a:prstGeom>
                    <a:noFill/>
                    <a:ln w="3175" cmpd="sng">
                      <a:solidFill>
                        <a:srgbClr val="000000"/>
                      </a:solidFill>
                    </a:ln>
                  </pic:spPr>
                </pic:pic>
              </a:graphicData>
            </a:graphic>
          </wp:inline>
        </w:drawing>
      </w:r>
    </w:p>
    <w:p w14:paraId="4B18E937">
      <w:pPr>
        <w:pStyle w:val="74"/>
      </w:pPr>
      <w:bookmarkStart w:id="1426" w:name="_Ref204881311"/>
      <w:r>
        <w:t xml:space="preserve">Рисунок </w:t>
      </w:r>
      <w:r>
        <w:fldChar w:fldCharType="begin"/>
      </w:r>
      <w:r>
        <w:instrText xml:space="preserve"> SEQ Рисунок \* ARABIC </w:instrText>
      </w:r>
      <w:r>
        <w:fldChar w:fldCharType="separate"/>
      </w:r>
      <w:r>
        <w:t>41</w:t>
      </w:r>
      <w:r>
        <w:fldChar w:fldCharType="end"/>
      </w:r>
      <w:bookmarkEnd w:id="1426"/>
      <w:r>
        <w:t xml:space="preserve"> — МЭК счета опубликован</w:t>
      </w:r>
    </w:p>
    <w:p w14:paraId="51B27810">
      <w:pPr>
        <w:pStyle w:val="69"/>
      </w:pPr>
      <w:r>
        <w:t>Результаты МЭК автоматически включаются в предварительный ответ плательщика и доступны для ознакомления МО. Результаты МЭК в статусе МЭК «МЭК счёта опубликован» включаются в финальный ответ Плательщика.</w:t>
      </w:r>
    </w:p>
    <w:p w14:paraId="373E504C">
      <w:pPr>
        <w:pStyle w:val="69"/>
      </w:pPr>
      <w:bookmarkStart w:id="1427" w:name="_Hlk202198537"/>
      <w:r>
        <w:t>В рамках открытого отчетного периода медицинской организации доступно внесение изменений в СЭФД в режиме редактирования. В случае изменения СЭФД документу присваивается новая версия и формируется новая версия счета МО.</w:t>
      </w:r>
      <w:bookmarkEnd w:id="1427"/>
      <w:r>
        <w:t xml:space="preserve"> После закрытия отчетного периода медицинской организации недоступно редактирование СЭФД.</w:t>
      </w:r>
    </w:p>
    <w:bookmarkEnd w:id="1421"/>
    <w:p w14:paraId="61729914">
      <w:pPr>
        <w:pStyle w:val="60"/>
      </w:pPr>
      <w:bookmarkStart w:id="1428" w:name="_Toc196317276"/>
      <w:bookmarkStart w:id="1429" w:name="_Toc225866327"/>
      <w:bookmarkStart w:id="1430" w:name="_Ref195090938"/>
      <w:bookmarkStart w:id="1431" w:name="_Hlk202198544"/>
      <w:r>
        <w:t>Просмотр результатов МЭК</w:t>
      </w:r>
      <w:bookmarkEnd w:id="1428"/>
      <w:bookmarkEnd w:id="1429"/>
      <w:bookmarkEnd w:id="1430"/>
    </w:p>
    <w:p w14:paraId="04677334">
      <w:pPr>
        <w:pStyle w:val="69"/>
      </w:pPr>
      <w:r>
        <w:t>Операция доступна пользователям с ролями:</w:t>
      </w:r>
    </w:p>
    <w:p w14:paraId="0FBB4AB1">
      <w:pPr>
        <w:pStyle w:val="76"/>
      </w:pPr>
      <w:r>
        <w:t>Плательщик ТФОМС;</w:t>
      </w:r>
    </w:p>
    <w:p w14:paraId="1EBDC7EB">
      <w:pPr>
        <w:pStyle w:val="76"/>
      </w:pPr>
      <w:r>
        <w:t>Куратор по СМО;</w:t>
      </w:r>
    </w:p>
    <w:p w14:paraId="71AB44D4">
      <w:pPr>
        <w:pStyle w:val="76"/>
      </w:pPr>
      <w:r>
        <w:t>Куратор по МО;</w:t>
      </w:r>
    </w:p>
    <w:p w14:paraId="527C7DA3">
      <w:pPr>
        <w:pStyle w:val="76"/>
      </w:pPr>
      <w:r>
        <w:t>Администратор счетов субъекта.</w:t>
      </w:r>
    </w:p>
    <w:p w14:paraId="0CECC38A">
      <w:pPr>
        <w:pStyle w:val="69"/>
      </w:pPr>
      <w:bookmarkStart w:id="1432" w:name="_Hlk206122796"/>
      <w:r>
        <w:t>Результаты МЭК автоматически включаются в предварительный ответ плательщика и содержатся в файле MEK_REPORT.</w:t>
      </w:r>
    </w:p>
    <w:p w14:paraId="497F1E1B">
      <w:pPr>
        <w:pStyle w:val="69"/>
      </w:pPr>
      <w:bookmarkStart w:id="1433" w:name="_Hlk205824220"/>
      <w:r>
        <w:t>На один законченный случай может быть выставлено несколько браковок в соответствии с составом ФЛК/МЭК счета.</w:t>
      </w:r>
    </w:p>
    <w:bookmarkEnd w:id="1433"/>
    <w:p w14:paraId="2CB2C355">
      <w:pPr>
        <w:pStyle w:val="69"/>
      </w:pPr>
      <w:bookmarkStart w:id="1434" w:name="_Hlk205824230"/>
      <w:r>
        <w:t>Результаты ФЛК/МЭК счета относятся к законченному случаю в целом. Исключение составляют МЭК счета по данным пациента, в данном случае браковка будет относиться ко всем законченным случаям, связанным с дефектными данными о пациенте. Наличие браковки у законченного случая, например, по причине нарушения оформления данных консилиума, влечет за собой снятие с оплаты законченного случая в полном объеме.</w:t>
      </w:r>
    </w:p>
    <w:bookmarkEnd w:id="1434"/>
    <w:p w14:paraId="72163921">
      <w:pPr>
        <w:pStyle w:val="69"/>
      </w:pPr>
      <w:r>
        <w:t>Просмотреть результаты МЭК можно в разделе «Информационный обмен» (см. п.</w:t>
      </w:r>
      <w:r>
        <w:fldChar w:fldCharType="begin"/>
      </w:r>
      <w:r>
        <w:instrText xml:space="preserve"> REF _Ref225783267 \n \h </w:instrText>
      </w:r>
      <w:r>
        <w:fldChar w:fldCharType="separate"/>
      </w:r>
      <w:r>
        <w:t>4.3</w:t>
      </w:r>
      <w:r>
        <w:fldChar w:fldCharType="end"/>
      </w:r>
      <w:r>
        <w:t>).</w:t>
      </w:r>
    </w:p>
    <w:p w14:paraId="599AA970">
      <w:pPr>
        <w:pStyle w:val="69"/>
      </w:pPr>
      <w:r>
        <w:t>Документы в составе zip-архива информационного сообщения с результатами МЭК:</w:t>
      </w:r>
    </w:p>
    <w:p w14:paraId="1D6310AC">
      <w:pPr>
        <w:pStyle w:val="76"/>
      </w:pPr>
      <w:bookmarkStart w:id="1435" w:name="_Hlk206008592"/>
      <w:r>
        <w:t>Заключение по результатам МЭК;</w:t>
      </w:r>
    </w:p>
    <w:p w14:paraId="7C8347EF">
      <w:pPr>
        <w:pStyle w:val="76"/>
      </w:pPr>
      <w:r>
        <w:t>Реестр заключений по результатам МЭК.</w:t>
      </w:r>
    </w:p>
    <w:bookmarkEnd w:id="1435"/>
    <w:p w14:paraId="3D9246BF">
      <w:pPr>
        <w:pStyle w:val="69"/>
      </w:pPr>
      <w:r>
        <w:t>После отправки предварительного ответа МО в регламентные сроки имеет возможность отозвать счет для внесения изменений в СЭФД, формирования новой версии счета и отправки плательщику.</w:t>
      </w:r>
    </w:p>
    <w:p w14:paraId="555159F0">
      <w:pPr>
        <w:pStyle w:val="69"/>
      </w:pPr>
      <w:r>
        <w:t>После закрытия отчетного периода формирование новой версии счета на стороне МО недоступно.</w:t>
      </w:r>
    </w:p>
    <w:bookmarkEnd w:id="1431"/>
    <w:bookmarkEnd w:id="1432"/>
    <w:p w14:paraId="067242C8">
      <w:pPr>
        <w:pStyle w:val="60"/>
      </w:pPr>
      <w:bookmarkStart w:id="1436" w:name="_Toc162359790"/>
      <w:bookmarkEnd w:id="1436"/>
      <w:bookmarkStart w:id="1437" w:name="_Toc162361879"/>
      <w:bookmarkEnd w:id="1437"/>
      <w:bookmarkStart w:id="1438" w:name="_Toc158719675"/>
      <w:bookmarkEnd w:id="1438"/>
      <w:bookmarkStart w:id="1439" w:name="_Toc158722245"/>
      <w:bookmarkEnd w:id="1439"/>
      <w:bookmarkStart w:id="1440" w:name="_Toc158722975"/>
      <w:bookmarkEnd w:id="1440"/>
      <w:bookmarkStart w:id="1441" w:name="_Toc158722974"/>
      <w:bookmarkEnd w:id="1441"/>
      <w:bookmarkStart w:id="1442" w:name="_Toc158720407"/>
      <w:bookmarkEnd w:id="1442"/>
      <w:bookmarkStart w:id="1443" w:name="_Toc158722976"/>
      <w:bookmarkEnd w:id="1443"/>
      <w:bookmarkStart w:id="1444" w:name="_Toc158719674"/>
      <w:bookmarkEnd w:id="1444"/>
      <w:bookmarkStart w:id="1445" w:name="_Toc162359789"/>
      <w:bookmarkEnd w:id="1445"/>
      <w:bookmarkStart w:id="1446" w:name="_Toc162359791"/>
      <w:bookmarkEnd w:id="1446"/>
      <w:bookmarkStart w:id="1447" w:name="_Toc158722246"/>
      <w:bookmarkEnd w:id="1447"/>
      <w:bookmarkStart w:id="1448" w:name="_Toc158719677"/>
      <w:bookmarkEnd w:id="1448"/>
      <w:bookmarkStart w:id="1449" w:name="_Toc158722247"/>
      <w:bookmarkEnd w:id="1449"/>
      <w:bookmarkStart w:id="1450" w:name="_Toc158734223"/>
      <w:bookmarkEnd w:id="1450"/>
      <w:bookmarkStart w:id="1451" w:name="_Toc158719678"/>
      <w:bookmarkEnd w:id="1451"/>
      <w:bookmarkStart w:id="1452" w:name="_Toc158721511"/>
      <w:bookmarkEnd w:id="1452"/>
      <w:bookmarkStart w:id="1453" w:name="_Toc162361878"/>
      <w:bookmarkEnd w:id="1453"/>
      <w:bookmarkStart w:id="1454" w:name="_Toc162361876"/>
      <w:bookmarkEnd w:id="1454"/>
      <w:bookmarkStart w:id="1455" w:name="_Toc158721513"/>
      <w:bookmarkEnd w:id="1455"/>
      <w:bookmarkStart w:id="1456" w:name="_Toc158722977"/>
      <w:bookmarkEnd w:id="1456"/>
      <w:bookmarkStart w:id="1457" w:name="_Toc158719676"/>
      <w:bookmarkEnd w:id="1457"/>
      <w:bookmarkStart w:id="1458" w:name="_Toc158722244"/>
      <w:bookmarkEnd w:id="1458"/>
      <w:bookmarkStart w:id="1459" w:name="_Toc158734221"/>
      <w:bookmarkEnd w:id="1459"/>
      <w:bookmarkStart w:id="1460" w:name="_Toc158721510"/>
      <w:bookmarkEnd w:id="1460"/>
      <w:bookmarkStart w:id="1461" w:name="_Toc158734220"/>
      <w:bookmarkEnd w:id="1461"/>
      <w:bookmarkStart w:id="1462" w:name="_Toc158721512"/>
      <w:bookmarkEnd w:id="1462"/>
      <w:bookmarkStart w:id="1463" w:name="_Toc162361877"/>
      <w:bookmarkEnd w:id="1463"/>
      <w:bookmarkStart w:id="1464" w:name="_Toc158720408"/>
      <w:bookmarkEnd w:id="1464"/>
      <w:bookmarkStart w:id="1465" w:name="_Toc158734222"/>
      <w:bookmarkEnd w:id="1465"/>
      <w:bookmarkStart w:id="1466" w:name="_Toc158720410"/>
      <w:bookmarkEnd w:id="1466"/>
      <w:bookmarkStart w:id="1467" w:name="_Toc158721514"/>
      <w:bookmarkEnd w:id="1467"/>
      <w:bookmarkStart w:id="1468" w:name="_Toc158720406"/>
      <w:bookmarkEnd w:id="1468"/>
      <w:bookmarkStart w:id="1469" w:name="_Toc162359792"/>
      <w:bookmarkEnd w:id="1469"/>
      <w:bookmarkStart w:id="1470" w:name="_Toc158722248"/>
      <w:bookmarkEnd w:id="1470"/>
      <w:bookmarkStart w:id="1471" w:name="_Toc158722978"/>
      <w:bookmarkEnd w:id="1471"/>
      <w:bookmarkStart w:id="1472" w:name="_Toc158734224"/>
      <w:bookmarkEnd w:id="1472"/>
      <w:bookmarkStart w:id="1473" w:name="_Toc158720409"/>
      <w:bookmarkEnd w:id="1473"/>
      <w:bookmarkStart w:id="1474" w:name="_Toc162359793"/>
      <w:bookmarkEnd w:id="1474"/>
      <w:bookmarkStart w:id="1475" w:name="_Toc162361880"/>
      <w:bookmarkEnd w:id="1475"/>
      <w:bookmarkStart w:id="1476" w:name="_Toc158722979"/>
      <w:bookmarkEnd w:id="1476"/>
      <w:bookmarkStart w:id="1477" w:name="_Toc162359794"/>
      <w:bookmarkEnd w:id="1477"/>
      <w:bookmarkStart w:id="1478" w:name="_Toc158722980"/>
      <w:bookmarkEnd w:id="1478"/>
      <w:bookmarkStart w:id="1479" w:name="_Toc158720413"/>
      <w:bookmarkEnd w:id="1479"/>
      <w:bookmarkStart w:id="1480" w:name="_Toc158719679"/>
      <w:bookmarkEnd w:id="1480"/>
      <w:bookmarkStart w:id="1481" w:name="_Toc158721517"/>
      <w:bookmarkEnd w:id="1481"/>
      <w:bookmarkStart w:id="1482" w:name="_Toc158720411"/>
      <w:bookmarkEnd w:id="1482"/>
      <w:bookmarkStart w:id="1483" w:name="_Toc162361881"/>
      <w:bookmarkEnd w:id="1483"/>
      <w:bookmarkStart w:id="1484" w:name="_Toc162359796"/>
      <w:bookmarkEnd w:id="1484"/>
      <w:bookmarkStart w:id="1485" w:name="_Toc158721518"/>
      <w:bookmarkEnd w:id="1485"/>
      <w:bookmarkStart w:id="1486" w:name="_Toc158722982"/>
      <w:bookmarkEnd w:id="1486"/>
      <w:bookmarkStart w:id="1487" w:name="_Toc158719683"/>
      <w:bookmarkEnd w:id="1487"/>
      <w:bookmarkStart w:id="1488" w:name="_Toc162361883"/>
      <w:bookmarkEnd w:id="1488"/>
      <w:bookmarkStart w:id="1489" w:name="_Toc158720415"/>
      <w:bookmarkEnd w:id="1489"/>
      <w:bookmarkStart w:id="1490" w:name="_Toc158721519"/>
      <w:bookmarkEnd w:id="1490"/>
      <w:bookmarkStart w:id="1491" w:name="_Toc158722253"/>
      <w:bookmarkEnd w:id="1491"/>
      <w:bookmarkStart w:id="1492" w:name="_Toc158722983"/>
      <w:bookmarkEnd w:id="1492"/>
      <w:bookmarkStart w:id="1493" w:name="_Toc158720416"/>
      <w:bookmarkEnd w:id="1493"/>
      <w:bookmarkStart w:id="1494" w:name="_Toc158721520"/>
      <w:bookmarkEnd w:id="1494"/>
      <w:bookmarkStart w:id="1495" w:name="_Toc158722254"/>
      <w:bookmarkEnd w:id="1495"/>
      <w:bookmarkStart w:id="1496" w:name="_Toc158734228"/>
      <w:bookmarkEnd w:id="1496"/>
      <w:bookmarkStart w:id="1497" w:name="_Toc162359799"/>
      <w:bookmarkEnd w:id="1497"/>
      <w:bookmarkStart w:id="1498" w:name="_Toc158722251"/>
      <w:bookmarkEnd w:id="1498"/>
      <w:bookmarkStart w:id="1499" w:name="_Toc158720417"/>
      <w:bookmarkEnd w:id="1499"/>
      <w:bookmarkStart w:id="1500" w:name="_Toc158719681"/>
      <w:bookmarkEnd w:id="1500"/>
      <w:bookmarkStart w:id="1501" w:name="_Toc162361886"/>
      <w:bookmarkEnd w:id="1501"/>
      <w:bookmarkStart w:id="1502" w:name="_Toc158721521"/>
      <w:bookmarkEnd w:id="1502"/>
      <w:bookmarkStart w:id="1503" w:name="_Toc158722255"/>
      <w:bookmarkEnd w:id="1503"/>
      <w:bookmarkStart w:id="1504" w:name="_Toc158734231"/>
      <w:bookmarkEnd w:id="1504"/>
      <w:bookmarkStart w:id="1505" w:name="_Toc162359800"/>
      <w:bookmarkEnd w:id="1505"/>
      <w:bookmarkStart w:id="1506" w:name="_Toc158722984"/>
      <w:bookmarkEnd w:id="1506"/>
      <w:bookmarkStart w:id="1507" w:name="_Toc158719680"/>
      <w:bookmarkEnd w:id="1507"/>
      <w:bookmarkStart w:id="1508" w:name="_Toc158719682"/>
      <w:bookmarkEnd w:id="1508"/>
      <w:bookmarkStart w:id="1509" w:name="_Toc162361885"/>
      <w:bookmarkEnd w:id="1509"/>
      <w:bookmarkStart w:id="1510" w:name="_Toc158734230"/>
      <w:bookmarkEnd w:id="1510"/>
      <w:bookmarkStart w:id="1511" w:name="_Toc158720414"/>
      <w:bookmarkEnd w:id="1511"/>
      <w:bookmarkStart w:id="1512" w:name="_Toc162361882"/>
      <w:bookmarkEnd w:id="1512"/>
      <w:bookmarkStart w:id="1513" w:name="_Toc158719684"/>
      <w:bookmarkEnd w:id="1513"/>
      <w:bookmarkStart w:id="1514" w:name="_Toc158719685"/>
      <w:bookmarkEnd w:id="1514"/>
      <w:bookmarkStart w:id="1515" w:name="_Toc158722985"/>
      <w:bookmarkEnd w:id="1515"/>
      <w:bookmarkStart w:id="1516" w:name="_Toc162361887"/>
      <w:bookmarkEnd w:id="1516"/>
      <w:bookmarkStart w:id="1517" w:name="_Toc158719686"/>
      <w:bookmarkEnd w:id="1517"/>
      <w:bookmarkStart w:id="1518" w:name="_Toc158721522"/>
      <w:bookmarkEnd w:id="1518"/>
      <w:bookmarkStart w:id="1519" w:name="_Toc158734229"/>
      <w:bookmarkEnd w:id="1519"/>
      <w:bookmarkStart w:id="1520" w:name="_Toc158722256"/>
      <w:bookmarkEnd w:id="1520"/>
      <w:bookmarkStart w:id="1521" w:name="_Toc158722986"/>
      <w:bookmarkEnd w:id="1521"/>
      <w:bookmarkStart w:id="1522" w:name="_Toc158734232"/>
      <w:bookmarkEnd w:id="1522"/>
      <w:bookmarkStart w:id="1523" w:name="_Toc158722250"/>
      <w:bookmarkEnd w:id="1523"/>
      <w:bookmarkStart w:id="1524" w:name="_Toc158722252"/>
      <w:bookmarkEnd w:id="1524"/>
      <w:bookmarkStart w:id="1525" w:name="_Toc162359801"/>
      <w:bookmarkEnd w:id="1525"/>
      <w:bookmarkStart w:id="1526" w:name="_Toc162359797"/>
      <w:bookmarkEnd w:id="1526"/>
      <w:bookmarkStart w:id="1527" w:name="_Toc158720418"/>
      <w:bookmarkEnd w:id="1527"/>
      <w:bookmarkStart w:id="1528" w:name="_Toc162361888"/>
      <w:bookmarkEnd w:id="1528"/>
      <w:bookmarkStart w:id="1529" w:name="_Toc158722981"/>
      <w:bookmarkEnd w:id="1529"/>
      <w:bookmarkStart w:id="1530" w:name="_Toc158734227"/>
      <w:bookmarkEnd w:id="1530"/>
      <w:bookmarkStart w:id="1531" w:name="_Toc158720412"/>
      <w:bookmarkEnd w:id="1531"/>
      <w:bookmarkStart w:id="1532" w:name="_Toc158734226"/>
      <w:bookmarkEnd w:id="1532"/>
      <w:bookmarkStart w:id="1533" w:name="_Toc162359795"/>
      <w:bookmarkEnd w:id="1533"/>
      <w:bookmarkStart w:id="1534" w:name="_Toc162361884"/>
      <w:bookmarkEnd w:id="1534"/>
      <w:bookmarkStart w:id="1535" w:name="_Toc158734225"/>
      <w:bookmarkEnd w:id="1535"/>
      <w:bookmarkStart w:id="1536" w:name="_Toc162359798"/>
      <w:bookmarkEnd w:id="1536"/>
      <w:bookmarkStart w:id="1537" w:name="_Toc158721515"/>
      <w:bookmarkEnd w:id="1537"/>
      <w:bookmarkStart w:id="1538" w:name="_Toc158722249"/>
      <w:bookmarkEnd w:id="1538"/>
      <w:bookmarkStart w:id="1539" w:name="_Toc158721516"/>
      <w:bookmarkEnd w:id="1539"/>
      <w:bookmarkStart w:id="1540" w:name="_Toc158722991"/>
      <w:bookmarkEnd w:id="1540"/>
      <w:bookmarkStart w:id="1541" w:name="_Toc162359805"/>
      <w:bookmarkEnd w:id="1541"/>
      <w:bookmarkStart w:id="1542" w:name="_Toc158721525"/>
      <w:bookmarkEnd w:id="1542"/>
      <w:bookmarkStart w:id="1543" w:name="_Toc162361891"/>
      <w:bookmarkEnd w:id="1543"/>
      <w:bookmarkStart w:id="1544" w:name="_Toc158721526"/>
      <w:bookmarkEnd w:id="1544"/>
      <w:bookmarkStart w:id="1545" w:name="_Toc158720423"/>
      <w:bookmarkEnd w:id="1545"/>
      <w:bookmarkStart w:id="1546" w:name="_Toc162361892"/>
      <w:bookmarkEnd w:id="1546"/>
      <w:bookmarkStart w:id="1547" w:name="_Toc158722257"/>
      <w:bookmarkEnd w:id="1547"/>
      <w:bookmarkStart w:id="1548" w:name="_Toc158721527"/>
      <w:bookmarkEnd w:id="1548"/>
      <w:bookmarkStart w:id="1549" w:name="_Toc158722990"/>
      <w:bookmarkEnd w:id="1549"/>
      <w:bookmarkStart w:id="1550" w:name="_Toc158722258"/>
      <w:bookmarkEnd w:id="1550"/>
      <w:bookmarkStart w:id="1551" w:name="_Toc158722989"/>
      <w:bookmarkEnd w:id="1551"/>
      <w:bookmarkStart w:id="1552" w:name="_Toc158720421"/>
      <w:bookmarkEnd w:id="1552"/>
      <w:bookmarkStart w:id="1553" w:name="_Toc162361890"/>
      <w:bookmarkEnd w:id="1553"/>
      <w:bookmarkStart w:id="1554" w:name="_Toc158719691"/>
      <w:bookmarkEnd w:id="1554"/>
      <w:bookmarkStart w:id="1555" w:name="_Toc162359804"/>
      <w:bookmarkEnd w:id="1555"/>
      <w:bookmarkStart w:id="1556" w:name="_Toc158734234"/>
      <w:bookmarkEnd w:id="1556"/>
      <w:bookmarkStart w:id="1557" w:name="_Toc158734236"/>
      <w:bookmarkEnd w:id="1557"/>
      <w:bookmarkStart w:id="1558" w:name="_Toc158719689"/>
      <w:bookmarkEnd w:id="1558"/>
      <w:bookmarkStart w:id="1559" w:name="_Toc158734235"/>
      <w:bookmarkEnd w:id="1559"/>
      <w:bookmarkStart w:id="1560" w:name="_Toc162359802"/>
      <w:bookmarkEnd w:id="1560"/>
      <w:bookmarkStart w:id="1561" w:name="_Toc162359806"/>
      <w:bookmarkEnd w:id="1561"/>
      <w:bookmarkStart w:id="1562" w:name="_Toc158722987"/>
      <w:bookmarkEnd w:id="1562"/>
      <w:bookmarkStart w:id="1563" w:name="_Toc158720422"/>
      <w:bookmarkEnd w:id="1563"/>
      <w:bookmarkStart w:id="1564" w:name="_Toc158720419"/>
      <w:bookmarkEnd w:id="1564"/>
      <w:bookmarkStart w:id="1565" w:name="_Toc158722260"/>
      <w:bookmarkEnd w:id="1565"/>
      <w:bookmarkStart w:id="1566" w:name="_Toc158734233"/>
      <w:bookmarkEnd w:id="1566"/>
      <w:bookmarkStart w:id="1567" w:name="_Toc158719690"/>
      <w:bookmarkEnd w:id="1567"/>
      <w:bookmarkStart w:id="1568" w:name="_Toc158722261"/>
      <w:bookmarkEnd w:id="1568"/>
      <w:bookmarkStart w:id="1569" w:name="_Toc158734237"/>
      <w:bookmarkEnd w:id="1569"/>
      <w:bookmarkStart w:id="1570" w:name="_Toc162359803"/>
      <w:bookmarkEnd w:id="1570"/>
      <w:bookmarkStart w:id="1571" w:name="_Toc158721524"/>
      <w:bookmarkEnd w:id="1571"/>
      <w:bookmarkStart w:id="1572" w:name="_Toc162361893"/>
      <w:bookmarkEnd w:id="1572"/>
      <w:bookmarkStart w:id="1573" w:name="_Toc158722259"/>
      <w:bookmarkEnd w:id="1573"/>
      <w:bookmarkStart w:id="1574" w:name="_Toc158719687"/>
      <w:bookmarkEnd w:id="1574"/>
      <w:bookmarkStart w:id="1575" w:name="_Toc158722988"/>
      <w:bookmarkEnd w:id="1575"/>
      <w:bookmarkStart w:id="1576" w:name="_Toc158720420"/>
      <w:bookmarkEnd w:id="1576"/>
      <w:bookmarkStart w:id="1577" w:name="_Toc162361889"/>
      <w:bookmarkEnd w:id="1577"/>
      <w:bookmarkStart w:id="1578" w:name="_Toc158721523"/>
      <w:bookmarkEnd w:id="1578"/>
      <w:bookmarkStart w:id="1579" w:name="_Toc158719688"/>
      <w:bookmarkEnd w:id="1579"/>
      <w:bookmarkStart w:id="1580" w:name="_Ref142477306"/>
      <w:bookmarkStart w:id="1581" w:name="_Toc131174716"/>
      <w:bookmarkStart w:id="1582" w:name="_Toc149209655"/>
      <w:bookmarkStart w:id="1583" w:name="_Toc117069395"/>
      <w:bookmarkStart w:id="1584" w:name="_Ref142477560"/>
      <w:bookmarkStart w:id="1585" w:name="_Toc225866328"/>
      <w:r>
        <w:t xml:space="preserve">Формирование и </w:t>
      </w:r>
      <w:bookmarkEnd w:id="1580"/>
      <w:bookmarkEnd w:id="1581"/>
      <w:bookmarkEnd w:id="1582"/>
      <w:bookmarkEnd w:id="1583"/>
      <w:bookmarkEnd w:id="1584"/>
      <w:r>
        <w:t>отправка предварительного ответа</w:t>
      </w:r>
      <w:bookmarkEnd w:id="1585"/>
    </w:p>
    <w:p w14:paraId="73E6704C">
      <w:pPr>
        <w:pStyle w:val="69"/>
      </w:pPr>
      <w:r>
        <w:t>Операция доступна пользователю с ролью «Плательщик ТФОМС».</w:t>
      </w:r>
    </w:p>
    <w:p w14:paraId="362316C4">
      <w:pPr>
        <w:pStyle w:val="69"/>
      </w:pPr>
      <w:bookmarkStart w:id="1586" w:name="_Hlk206122863"/>
      <w:r>
        <w:t>В рамках открытого отчетного периода возможно формирование и отправка в медицинские организации предварительного ответа плательщика. Данный тип ответа не требует подписания. Запустить процесс можно как в ручном, так и в автоматическом режиме.</w:t>
      </w:r>
    </w:p>
    <w:p w14:paraId="2B6DBAD1">
      <w:pPr>
        <w:pStyle w:val="69"/>
      </w:pPr>
      <w:r>
        <w:t>Формирование предварительного ответа возможно только для счета в статусе:</w:t>
      </w:r>
    </w:p>
    <w:p w14:paraId="392E8B8C">
      <w:pPr>
        <w:pStyle w:val="76"/>
      </w:pPr>
      <w:r>
        <w:t>«Отправлен»;</w:t>
      </w:r>
    </w:p>
    <w:p w14:paraId="3475F516">
      <w:pPr>
        <w:pStyle w:val="76"/>
      </w:pPr>
      <w:r>
        <w:t>«Сформирован предварительный ответ плательщика»;</w:t>
      </w:r>
    </w:p>
    <w:p w14:paraId="6878ACCC">
      <w:pPr>
        <w:pStyle w:val="76"/>
      </w:pPr>
      <w:r>
        <w:t>«Отправлен предварительный ответ плательщика МО».</w:t>
      </w:r>
    </w:p>
    <w:p w14:paraId="788A0C83">
      <w:pPr>
        <w:pStyle w:val="69"/>
      </w:pPr>
      <w:r>
        <w:t xml:space="preserve">Для инициации формирования предварительного ответа в ручном режиме необходимо выбрать счет и нажать кнопку «Сформировать предварительный ответ» (рис. </w:t>
      </w:r>
      <w:r>
        <w:fldChar w:fldCharType="begin"/>
      </w:r>
      <w:r>
        <w:instrText xml:space="preserve"> REF  _Ref162528724 \h\#\0   \* MERGEFORMAT </w:instrText>
      </w:r>
      <w:r>
        <w:fldChar w:fldCharType="separate"/>
      </w:r>
      <w:r>
        <w:t>42</w:t>
      </w:r>
      <w:r>
        <w:fldChar w:fldCharType="end"/>
      </w:r>
      <w:r>
        <w:t>). Запустится процесс формирования предварительного ответа плательщика.</w:t>
      </w:r>
    </w:p>
    <w:p w14:paraId="630EE7D6">
      <w:pPr>
        <w:pStyle w:val="73"/>
      </w:pPr>
      <w:r>
        <w:drawing>
          <wp:inline distT="0" distB="0" distL="0" distR="0">
            <wp:extent cx="6120765" cy="835025"/>
            <wp:effectExtent l="19050" t="19050" r="13335" b="22225"/>
            <wp:docPr id="3893204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20422" name="Рисунок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6120765" cy="835025"/>
                    </a:xfrm>
                    <a:prstGeom prst="rect">
                      <a:avLst/>
                    </a:prstGeom>
                    <a:noFill/>
                    <a:ln w="3175" cmpd="sng">
                      <a:solidFill>
                        <a:srgbClr val="000000"/>
                      </a:solidFill>
                    </a:ln>
                  </pic:spPr>
                </pic:pic>
              </a:graphicData>
            </a:graphic>
          </wp:inline>
        </w:drawing>
      </w:r>
    </w:p>
    <w:p w14:paraId="4DE0EC76">
      <w:pPr>
        <w:pStyle w:val="74"/>
      </w:pPr>
      <w:bookmarkStart w:id="1587" w:name="_Ref162528724"/>
      <w:r>
        <w:t xml:space="preserve">Рисунок </w:t>
      </w:r>
      <w:r>
        <w:fldChar w:fldCharType="begin"/>
      </w:r>
      <w:r>
        <w:instrText xml:space="preserve"> SEQ Рисунок \* ARABIC </w:instrText>
      </w:r>
      <w:r>
        <w:fldChar w:fldCharType="separate"/>
      </w:r>
      <w:r>
        <w:t>42</w:t>
      </w:r>
      <w:r>
        <w:fldChar w:fldCharType="end"/>
      </w:r>
      <w:bookmarkEnd w:id="1587"/>
      <w:r>
        <w:t xml:space="preserve"> — Формирование предварительного ответа</w:t>
      </w:r>
    </w:p>
    <w:p w14:paraId="39841ABB">
      <w:pPr>
        <w:pStyle w:val="69"/>
      </w:pPr>
      <w:r>
        <w:t>По окончании формирования ответа плательщика статус счета изменится на значение «Сформирован предварительный ответ плательщика».</w:t>
      </w:r>
    </w:p>
    <w:p w14:paraId="48DC3E0A">
      <w:pPr>
        <w:pStyle w:val="69"/>
      </w:pPr>
      <w:r>
        <w:t xml:space="preserve">Для счетов в статусе «Сформирован предварительный ответ плательщика» </w:t>
      </w:r>
      <w:bookmarkStart w:id="1588" w:name="_Hlk162517341"/>
      <w:r>
        <w:t>активна кнопка «Отправить предварительный ответ»</w:t>
      </w:r>
      <w:bookmarkEnd w:id="1588"/>
      <w:r>
        <w:t xml:space="preserve">, по нажатию на которую ответ направится в медицинскую организацию </w:t>
      </w:r>
      <w:r>
        <w:rPr>
          <w:lang w:val="en-US"/>
        </w:rPr>
        <w:t>(</w:t>
      </w:r>
      <w:r>
        <w:t xml:space="preserve">рис. </w:t>
      </w:r>
      <w:r>
        <w:fldChar w:fldCharType="begin"/>
      </w:r>
      <w:r>
        <w:instrText xml:space="preserve"> REF  _Ref162528625 \h\#\0   \* MERGEFORMAT </w:instrText>
      </w:r>
      <w:r>
        <w:fldChar w:fldCharType="separate"/>
      </w:r>
      <w:r>
        <w:t>43</w:t>
      </w:r>
      <w:r>
        <w:fldChar w:fldCharType="end"/>
      </w:r>
      <w:r>
        <w:rPr>
          <w:lang w:val="en-US"/>
        </w:rPr>
        <w:t>)</w:t>
      </w:r>
      <w:r>
        <w:t>.</w:t>
      </w:r>
    </w:p>
    <w:p w14:paraId="4444D0F0">
      <w:pPr>
        <w:pStyle w:val="73"/>
      </w:pPr>
      <w:r>
        <w:drawing>
          <wp:inline distT="0" distB="0" distL="0" distR="0">
            <wp:extent cx="6120765" cy="829310"/>
            <wp:effectExtent l="19050" t="19050" r="13335" b="27940"/>
            <wp:docPr id="20452859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28591" name="Рисунок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6120765" cy="829310"/>
                    </a:xfrm>
                    <a:prstGeom prst="rect">
                      <a:avLst/>
                    </a:prstGeom>
                    <a:noFill/>
                    <a:ln w="3175" cmpd="sng">
                      <a:solidFill>
                        <a:srgbClr val="000000"/>
                      </a:solidFill>
                    </a:ln>
                  </pic:spPr>
                </pic:pic>
              </a:graphicData>
            </a:graphic>
          </wp:inline>
        </w:drawing>
      </w:r>
    </w:p>
    <w:p w14:paraId="1F104FB8">
      <w:pPr>
        <w:pStyle w:val="74"/>
      </w:pPr>
      <w:bookmarkStart w:id="1589" w:name="_Ref162528625"/>
      <w:r>
        <w:t xml:space="preserve">Рисунок </w:t>
      </w:r>
      <w:r>
        <w:fldChar w:fldCharType="begin"/>
      </w:r>
      <w:r>
        <w:instrText xml:space="preserve"> SEQ Рисунок \* ARABIC </w:instrText>
      </w:r>
      <w:r>
        <w:fldChar w:fldCharType="separate"/>
      </w:r>
      <w:r>
        <w:t>43</w:t>
      </w:r>
      <w:r>
        <w:fldChar w:fldCharType="end"/>
      </w:r>
      <w:bookmarkEnd w:id="1589"/>
      <w:r>
        <w:t xml:space="preserve"> — Отправка предварительного ответа</w:t>
      </w:r>
    </w:p>
    <w:p w14:paraId="1F0AE062">
      <w:pPr>
        <w:pStyle w:val="69"/>
      </w:pPr>
      <w:r>
        <w:t xml:space="preserve">После отправки предварительного ответа отображается соответствующее уведомление (рис. </w:t>
      </w:r>
      <w:r>
        <w:fldChar w:fldCharType="begin"/>
      </w:r>
      <w:r>
        <w:instrText xml:space="preserve"> REF  _Ref162528681 \h\#\0   \* MERGEFORMAT </w:instrText>
      </w:r>
      <w:r>
        <w:fldChar w:fldCharType="separate"/>
      </w:r>
      <w:r>
        <w:t>44</w:t>
      </w:r>
      <w:r>
        <w:fldChar w:fldCharType="end"/>
      </w:r>
      <w:r>
        <w:t>)</w:t>
      </w:r>
    </w:p>
    <w:p w14:paraId="4FCF1917">
      <w:pPr>
        <w:pStyle w:val="73"/>
      </w:pPr>
      <w:r>
        <w:drawing>
          <wp:inline distT="0" distB="0" distL="0" distR="0">
            <wp:extent cx="3419475" cy="809625"/>
            <wp:effectExtent l="19050" t="19050" r="28575" b="28575"/>
            <wp:docPr id="234168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16840" name="Рисунок 1"/>
                    <pic:cNvPicPr>
                      <a:picLocks noChangeAspect="1"/>
                    </pic:cNvPicPr>
                  </pic:nvPicPr>
                  <pic:blipFill>
                    <a:blip r:embed="rId69"/>
                    <a:stretch>
                      <a:fillRect/>
                    </a:stretch>
                  </pic:blipFill>
                  <pic:spPr>
                    <a:xfrm>
                      <a:off x="0" y="0"/>
                      <a:ext cx="3419952" cy="809738"/>
                    </a:xfrm>
                    <a:prstGeom prst="rect">
                      <a:avLst/>
                    </a:prstGeom>
                    <a:ln w="3175" cmpd="sng">
                      <a:solidFill>
                        <a:srgbClr val="000000"/>
                      </a:solidFill>
                    </a:ln>
                  </pic:spPr>
                </pic:pic>
              </a:graphicData>
            </a:graphic>
          </wp:inline>
        </w:drawing>
      </w:r>
    </w:p>
    <w:p w14:paraId="570259A0">
      <w:pPr>
        <w:pStyle w:val="74"/>
      </w:pPr>
      <w:bookmarkStart w:id="1590" w:name="_Ref162528681"/>
      <w:r>
        <w:t xml:space="preserve">Рисунок </w:t>
      </w:r>
      <w:r>
        <w:fldChar w:fldCharType="begin"/>
      </w:r>
      <w:r>
        <w:instrText xml:space="preserve"> SEQ Рисунок \* ARABIC </w:instrText>
      </w:r>
      <w:r>
        <w:fldChar w:fldCharType="separate"/>
      </w:r>
      <w:r>
        <w:t>44</w:t>
      </w:r>
      <w:r>
        <w:fldChar w:fldCharType="end"/>
      </w:r>
      <w:bookmarkEnd w:id="1590"/>
      <w:r>
        <w:t xml:space="preserve"> — Сообщение о успешной отправке</w:t>
      </w:r>
    </w:p>
    <w:p w14:paraId="778F7B92">
      <w:pPr>
        <w:pStyle w:val="69"/>
      </w:pPr>
      <w:r>
        <w:t xml:space="preserve">Для инициации формирования и отправки предварительного ответа в автоматическом режиме необходимо открыть счет и нажать кнопку </w:t>
      </w:r>
      <w:r>
        <w:drawing>
          <wp:inline distT="0" distB="0" distL="0" distR="0">
            <wp:extent cx="143510" cy="162560"/>
            <wp:effectExtent l="19050" t="19050" r="27940" b="27940"/>
            <wp:docPr id="10796226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622655" name="Рисунок 1"/>
                    <pic:cNvPicPr>
                      <a:picLocks noChangeAspect="1"/>
                    </pic:cNvPicPr>
                  </pic:nvPicPr>
                  <pic:blipFill>
                    <a:blip r:embed="rId70"/>
                    <a:stretch>
                      <a:fillRect/>
                    </a:stretch>
                  </pic:blipFill>
                  <pic:spPr>
                    <a:xfrm>
                      <a:off x="0" y="0"/>
                      <a:ext cx="144000" cy="162946"/>
                    </a:xfrm>
                    <a:prstGeom prst="rect">
                      <a:avLst/>
                    </a:prstGeom>
                    <a:ln w="3175" cmpd="sng">
                      <a:solidFill>
                        <a:srgbClr val="000000"/>
                      </a:solidFill>
                    </a:ln>
                  </pic:spPr>
                </pic:pic>
              </a:graphicData>
            </a:graphic>
          </wp:inline>
        </w:drawing>
      </w:r>
      <w:r>
        <w:t xml:space="preserve"> в правом верхнем углу «Реестра счетов» (рис.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162528583 \</w:instrText>
      </w:r>
      <w:r>
        <w:rPr>
          <w:lang w:val="en-US"/>
        </w:rPr>
        <w:instrText xml:space="preserve">h</w:instrText>
      </w:r>
      <w:r>
        <w:instrText xml:space="preserve">\#\0   \* </w:instrText>
      </w:r>
      <w:r>
        <w:rPr>
          <w:lang w:val="en-US"/>
        </w:rPr>
        <w:instrText xml:space="preserve">MERGEFORMAT</w:instrText>
      </w:r>
      <w:r>
        <w:instrText xml:space="preserve"> </w:instrText>
      </w:r>
      <w:r>
        <w:rPr>
          <w:lang w:val="en-US"/>
        </w:rPr>
        <w:fldChar w:fldCharType="separate"/>
      </w:r>
      <w:r>
        <w:t>45</w:t>
      </w:r>
      <w:r>
        <w:rPr>
          <w:lang w:val="en-US"/>
        </w:rPr>
        <w:fldChar w:fldCharType="end"/>
      </w:r>
      <w:r>
        <w:t>). Установить переключатели в соответствующее положение «ВКЛ» / «ВЫКЛ» в полях для функций:</w:t>
      </w:r>
    </w:p>
    <w:p w14:paraId="48391385">
      <w:pPr>
        <w:pStyle w:val="76"/>
      </w:pPr>
      <w:r>
        <w:t>«Автоформирование»;</w:t>
      </w:r>
    </w:p>
    <w:p w14:paraId="3E6DE4EC">
      <w:pPr>
        <w:pStyle w:val="76"/>
      </w:pPr>
      <w:r>
        <w:t>«Автоотправка».</w:t>
      </w:r>
    </w:p>
    <w:p w14:paraId="64FB002C">
      <w:pPr>
        <w:pStyle w:val="73"/>
      </w:pPr>
      <w:r>
        <w:drawing>
          <wp:inline distT="0" distB="0" distL="0" distR="0">
            <wp:extent cx="6120765" cy="774065"/>
            <wp:effectExtent l="19050" t="19050" r="13335" b="26035"/>
            <wp:docPr id="29748015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480157" name="Рисунок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6120765" cy="774065"/>
                    </a:xfrm>
                    <a:prstGeom prst="rect">
                      <a:avLst/>
                    </a:prstGeom>
                    <a:noFill/>
                    <a:ln w="3175" cmpd="sng">
                      <a:solidFill>
                        <a:srgbClr val="000000"/>
                      </a:solidFill>
                    </a:ln>
                  </pic:spPr>
                </pic:pic>
              </a:graphicData>
            </a:graphic>
          </wp:inline>
        </w:drawing>
      </w:r>
    </w:p>
    <w:p w14:paraId="0C428D1A">
      <w:pPr>
        <w:pStyle w:val="74"/>
      </w:pPr>
      <w:bookmarkStart w:id="1591" w:name="_Ref162528583"/>
      <w:r>
        <w:t xml:space="preserve">Рисунок </w:t>
      </w:r>
      <w:r>
        <w:fldChar w:fldCharType="begin"/>
      </w:r>
      <w:r>
        <w:instrText xml:space="preserve"> SEQ Рисунок \* ARABIC </w:instrText>
      </w:r>
      <w:r>
        <w:fldChar w:fldCharType="separate"/>
      </w:r>
      <w:r>
        <w:t>45</w:t>
      </w:r>
      <w:r>
        <w:fldChar w:fldCharType="end"/>
      </w:r>
      <w:bookmarkEnd w:id="1591"/>
      <w:r>
        <w:t xml:space="preserve"> — Переключение функций автоматического формирования/отправки предварительного ответа</w:t>
      </w:r>
    </w:p>
    <w:p w14:paraId="527C9A60">
      <w:pPr>
        <w:pStyle w:val="69"/>
      </w:pPr>
      <w:r>
        <w:t>При установленном значения «ВКЛ» формирование и/или отправка предварительного ответа плательщика выполняется автоматически после получения счета от МО.</w:t>
      </w:r>
    </w:p>
    <w:bookmarkEnd w:id="1586"/>
    <w:p w14:paraId="5B9442BE">
      <w:pPr>
        <w:pStyle w:val="60"/>
        <w:rPr>
          <w:lang w:eastAsia="en-US"/>
        </w:rPr>
      </w:pPr>
      <w:bookmarkStart w:id="1592" w:name="_Toc163054877"/>
      <w:bookmarkEnd w:id="1592"/>
      <w:bookmarkStart w:id="1593" w:name="_Toc163056194"/>
      <w:bookmarkEnd w:id="1593"/>
      <w:bookmarkStart w:id="1594" w:name="_Toc163031218"/>
      <w:bookmarkEnd w:id="1594"/>
      <w:bookmarkStart w:id="1595" w:name="_Toc163043279"/>
      <w:bookmarkEnd w:id="1595"/>
      <w:bookmarkStart w:id="1596" w:name="_Toc163056448"/>
      <w:bookmarkEnd w:id="1596"/>
      <w:bookmarkStart w:id="1597" w:name="_Toc162517434"/>
      <w:bookmarkEnd w:id="1597"/>
      <w:bookmarkStart w:id="1598" w:name="_Toc163063202"/>
      <w:bookmarkEnd w:id="1598"/>
      <w:bookmarkStart w:id="1599" w:name="_Toc163041640"/>
      <w:bookmarkEnd w:id="1599"/>
      <w:bookmarkStart w:id="1600" w:name="_Toc163041793"/>
      <w:bookmarkEnd w:id="1600"/>
      <w:bookmarkStart w:id="1601" w:name="_Toc162528996"/>
      <w:bookmarkEnd w:id="1601"/>
      <w:bookmarkStart w:id="1602" w:name="_Toc163052232"/>
      <w:bookmarkEnd w:id="1602"/>
      <w:bookmarkStart w:id="1603" w:name="_Ref143801432"/>
      <w:bookmarkStart w:id="1604" w:name="_Toc225866329"/>
      <w:bookmarkStart w:id="1605" w:name="_Toc149209656"/>
      <w:r>
        <w:rPr>
          <w:lang w:eastAsia="en-US"/>
        </w:rPr>
        <w:t>Формирование финального ответа</w:t>
      </w:r>
      <w:bookmarkEnd w:id="1603"/>
      <w:bookmarkEnd w:id="1604"/>
      <w:bookmarkEnd w:id="1605"/>
    </w:p>
    <w:p w14:paraId="5AF586F7">
      <w:pPr>
        <w:pStyle w:val="69"/>
      </w:pPr>
      <w:bookmarkStart w:id="1606" w:name="_Hlk146291570"/>
      <w:r>
        <w:t>Операция доступна пользователю с ролью «Плательщик ТФОМС».</w:t>
      </w:r>
    </w:p>
    <w:p w14:paraId="1518BC50">
      <w:pPr>
        <w:pStyle w:val="69"/>
      </w:pPr>
      <w:bookmarkStart w:id="1607" w:name="_Hlk206122975"/>
      <w:r>
        <w:t>Формирование финального ответа возможно для счетов в статусе «Отправлен», «Отправлен предварительный ответ», «Сформирован ответ плательщика» и «Отправлен ответ плательщика МО» со статусом МЭК «МЭК счёта опубликован».</w:t>
      </w:r>
    </w:p>
    <w:p w14:paraId="61D1569A">
      <w:pPr>
        <w:pStyle w:val="69"/>
      </w:pPr>
      <w:r>
        <w:t xml:space="preserve">Для формирования финального ответа необходимо в выделенном счете нажать кнопку «Сформировать финальный ответ» (рис. </w:t>
      </w:r>
      <w:r>
        <w:fldChar w:fldCharType="begin"/>
      </w:r>
      <w:r>
        <w:instrText xml:space="preserve"> REF  _Ref162528518 \h\#\0   \* MERGEFORMAT </w:instrText>
      </w:r>
      <w:r>
        <w:fldChar w:fldCharType="separate"/>
      </w:r>
      <w:r>
        <w:t>46</w:t>
      </w:r>
      <w:r>
        <w:fldChar w:fldCharType="end"/>
      </w:r>
      <w:r>
        <w:t>).</w:t>
      </w:r>
    </w:p>
    <w:p w14:paraId="36F43B25">
      <w:pPr>
        <w:pStyle w:val="73"/>
      </w:pPr>
      <w:r>
        <w:drawing>
          <wp:inline distT="0" distB="0" distL="0" distR="0">
            <wp:extent cx="6120765" cy="798830"/>
            <wp:effectExtent l="19050" t="19050" r="13335" b="20320"/>
            <wp:docPr id="259547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5479" name="Рисунок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6120765" cy="798830"/>
                    </a:xfrm>
                    <a:prstGeom prst="rect">
                      <a:avLst/>
                    </a:prstGeom>
                    <a:noFill/>
                    <a:ln w="3175" cmpd="sng">
                      <a:solidFill>
                        <a:srgbClr val="000000"/>
                      </a:solidFill>
                    </a:ln>
                  </pic:spPr>
                </pic:pic>
              </a:graphicData>
            </a:graphic>
          </wp:inline>
        </w:drawing>
      </w:r>
    </w:p>
    <w:p w14:paraId="528DD52E">
      <w:pPr>
        <w:pStyle w:val="74"/>
      </w:pPr>
      <w:bookmarkStart w:id="1608" w:name="_Ref162528518"/>
      <w:r>
        <w:t xml:space="preserve">Рисунок </w:t>
      </w:r>
      <w:r>
        <w:fldChar w:fldCharType="begin"/>
      </w:r>
      <w:r>
        <w:instrText xml:space="preserve"> SEQ Рисунок \* ARABIC </w:instrText>
      </w:r>
      <w:r>
        <w:fldChar w:fldCharType="separate"/>
      </w:r>
      <w:r>
        <w:t>46</w:t>
      </w:r>
      <w:r>
        <w:fldChar w:fldCharType="end"/>
      </w:r>
      <w:bookmarkEnd w:id="1608"/>
      <w:r>
        <w:t xml:space="preserve"> — Формирование финального ответа</w:t>
      </w:r>
    </w:p>
    <w:p w14:paraId="51EE5818">
      <w:pPr>
        <w:pStyle w:val="69"/>
      </w:pPr>
      <w:r>
        <w:t xml:space="preserve">После успешного формирования появится соответствующее уведомление (рис. </w:t>
      </w:r>
      <w:r>
        <w:fldChar w:fldCharType="begin"/>
      </w:r>
      <w:r>
        <w:instrText xml:space="preserve"> REF  _Ref162528450 \h\#\0   \* MERGEFORMAT </w:instrText>
      </w:r>
      <w:r>
        <w:fldChar w:fldCharType="separate"/>
      </w:r>
      <w:r>
        <w:t>47</w:t>
      </w:r>
      <w:r>
        <w:fldChar w:fldCharType="end"/>
      </w:r>
      <w:r>
        <w:t>).</w:t>
      </w:r>
    </w:p>
    <w:p w14:paraId="3FB66371">
      <w:pPr>
        <w:pStyle w:val="73"/>
      </w:pPr>
      <w:r>
        <w:drawing>
          <wp:inline distT="0" distB="0" distL="0" distR="0">
            <wp:extent cx="2887980" cy="1203960"/>
            <wp:effectExtent l="19050" t="19050" r="26670" b="15240"/>
            <wp:docPr id="300424762" name="Рисунок 300424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424762" name="Рисунок 300424762"/>
                    <pic:cNvPicPr>
                      <a:picLocks noChangeAspect="1"/>
                    </pic:cNvPicPr>
                  </pic:nvPicPr>
                  <pic:blipFill>
                    <a:blip r:embed="rId73"/>
                    <a:stretch>
                      <a:fillRect/>
                    </a:stretch>
                  </pic:blipFill>
                  <pic:spPr>
                    <a:xfrm>
                      <a:off x="0" y="0"/>
                      <a:ext cx="2888230" cy="1204064"/>
                    </a:xfrm>
                    <a:prstGeom prst="rect">
                      <a:avLst/>
                    </a:prstGeom>
                    <a:ln w="3175" cmpd="sng">
                      <a:solidFill>
                        <a:srgbClr val="000000"/>
                      </a:solidFill>
                    </a:ln>
                  </pic:spPr>
                </pic:pic>
              </a:graphicData>
            </a:graphic>
          </wp:inline>
        </w:drawing>
      </w:r>
    </w:p>
    <w:p w14:paraId="5311ADE8">
      <w:pPr>
        <w:pStyle w:val="74"/>
      </w:pPr>
      <w:bookmarkStart w:id="1609" w:name="_Ref162528450"/>
      <w:r>
        <w:t xml:space="preserve">Рисунок </w:t>
      </w:r>
      <w:r>
        <w:fldChar w:fldCharType="begin"/>
      </w:r>
      <w:r>
        <w:instrText xml:space="preserve"> SEQ Рисунок \* ARABIC </w:instrText>
      </w:r>
      <w:r>
        <w:fldChar w:fldCharType="separate"/>
      </w:r>
      <w:r>
        <w:t>47</w:t>
      </w:r>
      <w:r>
        <w:fldChar w:fldCharType="end"/>
      </w:r>
      <w:bookmarkEnd w:id="1609"/>
      <w:r>
        <w:t xml:space="preserve"> — Уведомление о успешном формировании</w:t>
      </w:r>
    </w:p>
    <w:bookmarkEnd w:id="1607"/>
    <w:p w14:paraId="74DD5A34">
      <w:pPr>
        <w:pStyle w:val="60"/>
      </w:pPr>
      <w:bookmarkStart w:id="1610" w:name="_Toc225866330"/>
      <w:bookmarkStart w:id="1611" w:name="_Toc171344454"/>
      <w:bookmarkStart w:id="1612" w:name="_Ref167121381"/>
      <w:r>
        <w:t>Подписание финального ответа плательщика</w:t>
      </w:r>
      <w:bookmarkEnd w:id="1610"/>
      <w:bookmarkEnd w:id="1611"/>
      <w:bookmarkEnd w:id="1612"/>
    </w:p>
    <w:p w14:paraId="6EFBA73A">
      <w:pPr>
        <w:pStyle w:val="69"/>
      </w:pPr>
      <w:r>
        <w:t>Операция доступна пользователю с ролью Плательщик ТФОМС.</w:t>
      </w:r>
    </w:p>
    <w:p w14:paraId="66884521">
      <w:pPr>
        <w:pStyle w:val="69"/>
      </w:pPr>
      <w:bookmarkStart w:id="1613" w:name="_Hlk206123125"/>
      <w:r>
        <w:t>Перед отправкой сформированный финальный ответ необходимо подписать.</w:t>
      </w:r>
    </w:p>
    <w:p w14:paraId="67086C67">
      <w:pPr>
        <w:pStyle w:val="69"/>
      </w:pPr>
      <w:r>
        <w:t xml:space="preserve">Чтобы подписать ответ необходимо в Реестре счетов выбрать счет в статусе «Сформирован ответ плательщика» и нажать кнопку «Подписать» (рис. </w:t>
      </w:r>
      <w:r>
        <w:fldChar w:fldCharType="begin"/>
      </w:r>
      <w:r>
        <w:instrText xml:space="preserve"> REF  _Ref146532957 \h\#\0   \* MERGEFORMAT </w:instrText>
      </w:r>
      <w:r>
        <w:fldChar w:fldCharType="separate"/>
      </w:r>
      <w:r>
        <w:t>48</w:t>
      </w:r>
      <w:r>
        <w:fldChar w:fldCharType="end"/>
      </w:r>
      <w:r>
        <w:t>).</w:t>
      </w:r>
    </w:p>
    <w:bookmarkEnd w:id="1606"/>
    <w:p w14:paraId="14D0EA64">
      <w:pPr>
        <w:pStyle w:val="73"/>
      </w:pPr>
      <w:r>
        <w:drawing>
          <wp:inline distT="0" distB="0" distL="0" distR="0">
            <wp:extent cx="6120765" cy="847725"/>
            <wp:effectExtent l="19050" t="19050" r="13335" b="28575"/>
            <wp:docPr id="72965934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659344" name="Рисунок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6120765" cy="847725"/>
                    </a:xfrm>
                    <a:prstGeom prst="rect">
                      <a:avLst/>
                    </a:prstGeom>
                    <a:noFill/>
                    <a:ln w="3175" cmpd="sng">
                      <a:solidFill>
                        <a:srgbClr val="000000"/>
                      </a:solidFill>
                    </a:ln>
                  </pic:spPr>
                </pic:pic>
              </a:graphicData>
            </a:graphic>
          </wp:inline>
        </w:drawing>
      </w:r>
    </w:p>
    <w:p w14:paraId="2DBCCB48">
      <w:pPr>
        <w:pStyle w:val="74"/>
      </w:pPr>
      <w:bookmarkStart w:id="1614" w:name="_Ref146532957"/>
      <w:r>
        <w:t xml:space="preserve">Рисунок </w:t>
      </w:r>
      <w:r>
        <w:fldChar w:fldCharType="begin"/>
      </w:r>
      <w:r>
        <w:instrText xml:space="preserve"> SEQ Рисунок \* ARABIC </w:instrText>
      </w:r>
      <w:r>
        <w:fldChar w:fldCharType="separate"/>
      </w:r>
      <w:r>
        <w:t>48</w:t>
      </w:r>
      <w:r>
        <w:fldChar w:fldCharType="end"/>
      </w:r>
      <w:bookmarkEnd w:id="1614"/>
      <w:r>
        <w:t xml:space="preserve"> — Подписание ответа</w:t>
      </w:r>
    </w:p>
    <w:p w14:paraId="3ECF518A">
      <w:pPr>
        <w:pStyle w:val="69"/>
      </w:pPr>
      <w:r>
        <w:t xml:space="preserve">В появившемся окне выбрать из выпадающего списка действующий сертификат пользователя, которым будет подписан ответ, и нажать кнопку «Подписать» (рис.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162528366 \</w:instrText>
      </w:r>
      <w:r>
        <w:rPr>
          <w:lang w:val="en-US"/>
        </w:rPr>
        <w:instrText xml:space="preserve">h</w:instrText>
      </w:r>
      <w:r>
        <w:instrText xml:space="preserve">\#\0   \* </w:instrText>
      </w:r>
      <w:r>
        <w:rPr>
          <w:lang w:val="en-US"/>
        </w:rPr>
        <w:instrText xml:space="preserve">MERGEFORMAT</w:instrText>
      </w:r>
      <w:r>
        <w:instrText xml:space="preserve"> </w:instrText>
      </w:r>
      <w:r>
        <w:rPr>
          <w:lang w:val="en-US"/>
        </w:rPr>
        <w:fldChar w:fldCharType="separate"/>
      </w:r>
      <w:r>
        <w:t>49</w:t>
      </w:r>
      <w:r>
        <w:rPr>
          <w:lang w:val="en-US"/>
        </w:rPr>
        <w:fldChar w:fldCharType="end"/>
      </w:r>
      <w:r>
        <w:t>).</w:t>
      </w:r>
    </w:p>
    <w:p w14:paraId="3277E071">
      <w:pPr>
        <w:pStyle w:val="74"/>
        <w:keepNext/>
      </w:pPr>
      <w:r>
        <w:drawing>
          <wp:inline distT="0" distB="0" distL="0" distR="0">
            <wp:extent cx="3360420" cy="2004060"/>
            <wp:effectExtent l="19050" t="19050" r="11430" b="15240"/>
            <wp:docPr id="300424765" name="Рисунок 300424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424765" name="Рисунок 300424765"/>
                    <pic:cNvPicPr>
                      <a:picLocks noChangeAspect="1"/>
                    </pic:cNvPicPr>
                  </pic:nvPicPr>
                  <pic:blipFill>
                    <a:blip r:embed="rId75"/>
                    <a:stretch>
                      <a:fillRect/>
                    </a:stretch>
                  </pic:blipFill>
                  <pic:spPr>
                    <a:xfrm>
                      <a:off x="0" y="0"/>
                      <a:ext cx="3360711" cy="2004234"/>
                    </a:xfrm>
                    <a:prstGeom prst="rect">
                      <a:avLst/>
                    </a:prstGeom>
                    <a:ln w="3175" cmpd="sng">
                      <a:solidFill>
                        <a:srgbClr val="000000"/>
                      </a:solidFill>
                    </a:ln>
                  </pic:spPr>
                </pic:pic>
              </a:graphicData>
            </a:graphic>
          </wp:inline>
        </w:drawing>
      </w:r>
    </w:p>
    <w:p w14:paraId="3BEA2991">
      <w:pPr>
        <w:pStyle w:val="74"/>
      </w:pPr>
      <w:bookmarkStart w:id="1615" w:name="_Ref162528366"/>
      <w:r>
        <w:t xml:space="preserve">Рисунок </w:t>
      </w:r>
      <w:r>
        <w:fldChar w:fldCharType="begin"/>
      </w:r>
      <w:r>
        <w:instrText xml:space="preserve"> SEQ Рисунок \* ARABIC </w:instrText>
      </w:r>
      <w:r>
        <w:fldChar w:fldCharType="separate"/>
      </w:r>
      <w:r>
        <w:t>49</w:t>
      </w:r>
      <w:r>
        <w:fldChar w:fldCharType="end"/>
      </w:r>
      <w:bookmarkEnd w:id="1615"/>
      <w:r>
        <w:t xml:space="preserve"> — Выбор сертификата подписи</w:t>
      </w:r>
    </w:p>
    <w:p w14:paraId="49E33F31">
      <w:pPr>
        <w:pStyle w:val="69"/>
      </w:pPr>
      <w:r>
        <w:t xml:space="preserve">При успешном подписании отобразится соответствующее уведомление (рис. </w:t>
      </w:r>
      <w:r>
        <w:fldChar w:fldCharType="begin"/>
      </w:r>
      <w:r>
        <w:instrText xml:space="preserve"> REF  _Ref162528288 \h\#\0   \* MERGEFORMAT </w:instrText>
      </w:r>
      <w:r>
        <w:fldChar w:fldCharType="separate"/>
      </w:r>
      <w:r>
        <w:t>50</w:t>
      </w:r>
      <w:r>
        <w:fldChar w:fldCharType="end"/>
      </w:r>
      <w:r>
        <w:t>) и статус счета изменится на «Подписан плательщиком».</w:t>
      </w:r>
    </w:p>
    <w:p w14:paraId="633695B4">
      <w:pPr>
        <w:pStyle w:val="73"/>
      </w:pPr>
      <w:r>
        <w:drawing>
          <wp:inline distT="0" distB="0" distL="0" distR="0">
            <wp:extent cx="2879725" cy="646430"/>
            <wp:effectExtent l="19050" t="19050" r="15875" b="20320"/>
            <wp:docPr id="13382169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216972" name="Рисунок 1"/>
                    <pic:cNvPicPr>
                      <a:picLocks noChangeAspect="1"/>
                    </pic:cNvPicPr>
                  </pic:nvPicPr>
                  <pic:blipFill>
                    <a:blip r:embed="rId76"/>
                    <a:stretch>
                      <a:fillRect/>
                    </a:stretch>
                  </pic:blipFill>
                  <pic:spPr>
                    <a:xfrm>
                      <a:off x="0" y="0"/>
                      <a:ext cx="2880000" cy="646531"/>
                    </a:xfrm>
                    <a:prstGeom prst="rect">
                      <a:avLst/>
                    </a:prstGeom>
                    <a:ln w="3175" cmpd="sng">
                      <a:solidFill>
                        <a:srgbClr val="000000"/>
                      </a:solidFill>
                    </a:ln>
                  </pic:spPr>
                </pic:pic>
              </a:graphicData>
            </a:graphic>
          </wp:inline>
        </w:drawing>
      </w:r>
    </w:p>
    <w:p w14:paraId="401A0F47">
      <w:pPr>
        <w:pStyle w:val="74"/>
      </w:pPr>
      <w:bookmarkStart w:id="1616" w:name="_Ref162528288"/>
      <w:r>
        <w:t xml:space="preserve">Рисунок </w:t>
      </w:r>
      <w:r>
        <w:fldChar w:fldCharType="begin"/>
      </w:r>
      <w:r>
        <w:instrText xml:space="preserve"> SEQ Рисунок \* ARABIC </w:instrText>
      </w:r>
      <w:r>
        <w:fldChar w:fldCharType="separate"/>
      </w:r>
      <w:r>
        <w:t>50</w:t>
      </w:r>
      <w:r>
        <w:fldChar w:fldCharType="end"/>
      </w:r>
      <w:bookmarkEnd w:id="1616"/>
      <w:r>
        <w:t xml:space="preserve"> — Уведомление о подписании счета</w:t>
      </w:r>
    </w:p>
    <w:p w14:paraId="1774B4E9">
      <w:pPr>
        <w:pStyle w:val="69"/>
      </w:pPr>
      <w:r>
        <w:t>Обновить статус счета нажатием кнопки «Найти» в блоке «Фильтр».</w:t>
      </w:r>
    </w:p>
    <w:bookmarkEnd w:id="1613"/>
    <w:p w14:paraId="0AB91DA8">
      <w:pPr>
        <w:pStyle w:val="60"/>
      </w:pPr>
      <w:bookmarkStart w:id="1617" w:name="_Ref167121387"/>
      <w:bookmarkStart w:id="1618" w:name="_Toc171344455"/>
      <w:bookmarkStart w:id="1619" w:name="_Toc225866331"/>
      <w:r>
        <w:t>Отправка финального ответа</w:t>
      </w:r>
      <w:bookmarkEnd w:id="1617"/>
      <w:bookmarkEnd w:id="1618"/>
      <w:bookmarkEnd w:id="1619"/>
    </w:p>
    <w:p w14:paraId="57834BCD">
      <w:pPr>
        <w:pStyle w:val="69"/>
      </w:pPr>
      <w:r>
        <w:t>Операция доступна пользователю с ролью Плательщик ТФОМС.</w:t>
      </w:r>
    </w:p>
    <w:p w14:paraId="091907FB">
      <w:pPr>
        <w:pStyle w:val="69"/>
      </w:pPr>
      <w:bookmarkStart w:id="1620" w:name="_Hlk206123247"/>
      <w:r>
        <w:t xml:space="preserve">После подписания появляется возможность отправить финальный ответ. Для этого в реестре счетов необходимо выбрать требуемые счета в статусе «Подписан плательщиком» и нажать кнопку «Отправить финальный ответ» (рис. </w:t>
      </w:r>
      <w:r>
        <w:fldChar w:fldCharType="begin"/>
      </w:r>
      <w:r>
        <w:instrText xml:space="preserve"> REF  _Ref162528113 \h\#\0   \* MERGEFORMAT </w:instrText>
      </w:r>
      <w:r>
        <w:fldChar w:fldCharType="separate"/>
      </w:r>
      <w:r>
        <w:t>51</w:t>
      </w:r>
      <w:r>
        <w:fldChar w:fldCharType="end"/>
      </w:r>
      <w:r>
        <w:t>).</w:t>
      </w:r>
    </w:p>
    <w:p w14:paraId="2053D84A">
      <w:pPr>
        <w:pStyle w:val="73"/>
      </w:pPr>
      <w:r>
        <w:drawing>
          <wp:inline distT="0" distB="0" distL="0" distR="0">
            <wp:extent cx="6120765" cy="798830"/>
            <wp:effectExtent l="19050" t="19050" r="13335" b="20320"/>
            <wp:docPr id="15093442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344212" name="Рисунок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6120765" cy="798830"/>
                    </a:xfrm>
                    <a:prstGeom prst="rect">
                      <a:avLst/>
                    </a:prstGeom>
                    <a:noFill/>
                    <a:ln w="3175" cmpd="sng">
                      <a:solidFill>
                        <a:srgbClr val="000000"/>
                      </a:solidFill>
                    </a:ln>
                  </pic:spPr>
                </pic:pic>
              </a:graphicData>
            </a:graphic>
          </wp:inline>
        </w:drawing>
      </w:r>
    </w:p>
    <w:p w14:paraId="4B9D59E3">
      <w:pPr>
        <w:pStyle w:val="74"/>
      </w:pPr>
      <w:bookmarkStart w:id="1621" w:name="_Ref162528113"/>
      <w:r>
        <w:t xml:space="preserve">Рисунок </w:t>
      </w:r>
      <w:r>
        <w:fldChar w:fldCharType="begin"/>
      </w:r>
      <w:r>
        <w:instrText xml:space="preserve"> SEQ Рисунок \* ARABIC </w:instrText>
      </w:r>
      <w:r>
        <w:fldChar w:fldCharType="separate"/>
      </w:r>
      <w:r>
        <w:t>51</w:t>
      </w:r>
      <w:r>
        <w:fldChar w:fldCharType="end"/>
      </w:r>
      <w:bookmarkEnd w:id="1621"/>
      <w:r>
        <w:t xml:space="preserve"> — Отправка финального ответа</w:t>
      </w:r>
    </w:p>
    <w:p w14:paraId="5F4D74C6">
      <w:pPr>
        <w:pStyle w:val="69"/>
      </w:pPr>
      <w:r>
        <w:t xml:space="preserve">При успешной отправке финального ответа плательщика отображается сообщение во всплывающем окне (рис. </w:t>
      </w:r>
      <w:r>
        <w:fldChar w:fldCharType="begin"/>
      </w:r>
      <w:r>
        <w:instrText xml:space="preserve"> REF  _Ref162528078 \h\#\0   \* MERGEFORMAT </w:instrText>
      </w:r>
      <w:r>
        <w:fldChar w:fldCharType="separate"/>
      </w:r>
      <w:r>
        <w:t>52</w:t>
      </w:r>
      <w:r>
        <w:fldChar w:fldCharType="end"/>
      </w:r>
      <w:r>
        <w:t>).</w:t>
      </w:r>
    </w:p>
    <w:p w14:paraId="5C35898B">
      <w:pPr>
        <w:pStyle w:val="73"/>
      </w:pPr>
      <w:r>
        <w:drawing>
          <wp:inline distT="0" distB="0" distL="0" distR="0">
            <wp:extent cx="3276600" cy="1505585"/>
            <wp:effectExtent l="19050" t="19050" r="19050" b="18415"/>
            <wp:docPr id="229508036" name="Рисунок 229508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508036" name="Рисунок 229508036"/>
                    <pic:cNvPicPr>
                      <a:picLocks noChangeAspect="1"/>
                    </pic:cNvPicPr>
                  </pic:nvPicPr>
                  <pic:blipFill>
                    <a:blip r:embed="rId78"/>
                    <a:stretch>
                      <a:fillRect/>
                    </a:stretch>
                  </pic:blipFill>
                  <pic:spPr>
                    <a:xfrm>
                      <a:off x="0" y="0"/>
                      <a:ext cx="3291436" cy="1512948"/>
                    </a:xfrm>
                    <a:prstGeom prst="rect">
                      <a:avLst/>
                    </a:prstGeom>
                    <a:ln w="3175" cmpd="sng">
                      <a:solidFill>
                        <a:srgbClr val="000000"/>
                      </a:solidFill>
                    </a:ln>
                  </pic:spPr>
                </pic:pic>
              </a:graphicData>
            </a:graphic>
          </wp:inline>
        </w:drawing>
      </w:r>
    </w:p>
    <w:p w14:paraId="0CEA6EB1">
      <w:pPr>
        <w:pStyle w:val="74"/>
      </w:pPr>
      <w:bookmarkStart w:id="1622" w:name="_Ref162528078"/>
      <w:r>
        <w:t xml:space="preserve">Рисунок </w:t>
      </w:r>
      <w:r>
        <w:fldChar w:fldCharType="begin"/>
      </w:r>
      <w:r>
        <w:instrText xml:space="preserve"> SEQ Рисунок \* ARABIC </w:instrText>
      </w:r>
      <w:r>
        <w:fldChar w:fldCharType="separate"/>
      </w:r>
      <w:r>
        <w:t>52</w:t>
      </w:r>
      <w:r>
        <w:fldChar w:fldCharType="end"/>
      </w:r>
      <w:bookmarkEnd w:id="1622"/>
      <w:r>
        <w:t xml:space="preserve"> — </w:t>
      </w:r>
      <w:bookmarkStart w:id="1623" w:name="_Hlk206009212"/>
      <w:r>
        <w:t>Сообщение о успешной отправке</w:t>
      </w:r>
      <w:bookmarkEnd w:id="1623"/>
    </w:p>
    <w:bookmarkEnd w:id="1321"/>
    <w:bookmarkEnd w:id="1322"/>
    <w:bookmarkEnd w:id="1323"/>
    <w:bookmarkEnd w:id="1324"/>
    <w:bookmarkEnd w:id="1419"/>
    <w:bookmarkEnd w:id="1620"/>
    <w:p w14:paraId="20955102">
      <w:pPr>
        <w:pStyle w:val="60"/>
      </w:pPr>
      <w:bookmarkStart w:id="1624" w:name="_Toc225866332"/>
      <w:bookmarkStart w:id="1625" w:name="_Ref223615508"/>
      <w:bookmarkStart w:id="1626" w:name="_Ref162368613"/>
      <w:bookmarkStart w:id="1627" w:name="_Toc149209659"/>
      <w:bookmarkStart w:id="1628" w:name="_Ref142477690"/>
      <w:bookmarkStart w:id="1629" w:name="_Toc154763967"/>
      <w:bookmarkStart w:id="1630" w:name="_Ref163231499"/>
      <w:bookmarkStart w:id="1631" w:name="_Ref163231500"/>
      <w:bookmarkStart w:id="1632" w:name="_Ref163042172"/>
      <w:bookmarkStart w:id="1633" w:name="_Hlk163231226"/>
      <w:r>
        <w:t>Возврат счета в МО</w:t>
      </w:r>
      <w:bookmarkEnd w:id="1624"/>
      <w:bookmarkEnd w:id="1625"/>
    </w:p>
    <w:p w14:paraId="1B5170A7">
      <w:pPr>
        <w:pStyle w:val="69"/>
      </w:pPr>
      <w:r>
        <w:t xml:space="preserve">В случае если счет после действий пользователя переходит дважды подряд в статус «Ошибка», то у пользователя с ролью Плательщик ТФОМС появляется возможность вернуть счет в МО. </w:t>
      </w:r>
    </w:p>
    <w:p w14:paraId="1E5B6F9E">
      <w:pPr>
        <w:pStyle w:val="69"/>
      </w:pPr>
      <w:r>
        <w:t xml:space="preserve">Для возврата счета в МО нажмите кнопку «Направить счет МО» на вкладке «Реестр счетов» (рис. </w:t>
      </w:r>
      <w:r>
        <w:fldChar w:fldCharType="begin"/>
      </w:r>
      <w:r>
        <w:instrText xml:space="preserve"> REF  _Ref224041027 \h \#\0 \* MERGEFORMAT </w:instrText>
      </w:r>
      <w:r>
        <w:fldChar w:fldCharType="separate"/>
      </w:r>
      <w:r>
        <w:t>53</w:t>
      </w:r>
      <w:r>
        <w:fldChar w:fldCharType="end"/>
      </w:r>
      <w:r>
        <w:t>).</w:t>
      </w:r>
    </w:p>
    <w:p w14:paraId="34D5B5AC">
      <w:pPr>
        <w:pStyle w:val="73"/>
      </w:pPr>
      <w:r>
        <w:drawing>
          <wp:inline distT="0" distB="0" distL="0" distR="0">
            <wp:extent cx="6119495" cy="1948180"/>
            <wp:effectExtent l="0" t="0" r="0" b="0"/>
            <wp:docPr id="20762192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19255" name="Рисунок 1"/>
                    <pic:cNvPicPr>
                      <a:picLocks noChangeAspect="1"/>
                    </pic:cNvPicPr>
                  </pic:nvPicPr>
                  <pic:blipFill>
                    <a:blip r:embed="rId79"/>
                    <a:stretch>
                      <a:fillRect/>
                    </a:stretch>
                  </pic:blipFill>
                  <pic:spPr>
                    <a:xfrm>
                      <a:off x="0" y="0"/>
                      <a:ext cx="6119495" cy="1948180"/>
                    </a:xfrm>
                    <a:prstGeom prst="rect">
                      <a:avLst/>
                    </a:prstGeom>
                  </pic:spPr>
                </pic:pic>
              </a:graphicData>
            </a:graphic>
          </wp:inline>
        </w:drawing>
      </w:r>
    </w:p>
    <w:p w14:paraId="05A766F2">
      <w:pPr>
        <w:pStyle w:val="74"/>
      </w:pPr>
      <w:bookmarkStart w:id="1634" w:name="_Ref224041027"/>
      <w:bookmarkStart w:id="1635" w:name="_Ref224041021"/>
      <w:r>
        <w:t xml:space="preserve">Рисунок </w:t>
      </w:r>
      <w:r>
        <w:fldChar w:fldCharType="begin"/>
      </w:r>
      <w:r>
        <w:instrText xml:space="preserve"> SEQ Рисунок \* ARABIC </w:instrText>
      </w:r>
      <w:r>
        <w:fldChar w:fldCharType="separate"/>
      </w:r>
      <w:r>
        <w:t>53</w:t>
      </w:r>
      <w:r>
        <w:fldChar w:fldCharType="end"/>
      </w:r>
      <w:bookmarkEnd w:id="1634"/>
      <w:r>
        <w:t xml:space="preserve"> — Кнопка «Направить счет МО»</w:t>
      </w:r>
      <w:bookmarkEnd w:id="1635"/>
    </w:p>
    <w:p w14:paraId="02251521">
      <w:pPr>
        <w:pStyle w:val="69"/>
      </w:pPr>
      <w:r>
        <w:t>При успешном возврате счета на сторону МО статус счета изменится на «Техническая ошибка».</w:t>
      </w:r>
    </w:p>
    <w:p w14:paraId="63A843D7">
      <w:pPr>
        <w:pStyle w:val="69"/>
      </w:pPr>
      <w:r>
        <w:t>Если счет возвращен в МО в открытом отчетном периоде, МО имеет возможность сформировать новую версию счета.</w:t>
      </w:r>
    </w:p>
    <w:p w14:paraId="493F796E">
      <w:pPr>
        <w:pStyle w:val="69"/>
      </w:pPr>
      <w:r>
        <w:t>При выполнении операции возврата счета в МО возможно появление уведомлений о возникновении следующих ошибок:</w:t>
      </w:r>
    </w:p>
    <w:p w14:paraId="23225824">
      <w:pPr>
        <w:pStyle w:val="76"/>
      </w:pPr>
      <w:r>
        <w:t>«Невозможно вернуть счёт на сторону МО» — счёт определенной версии перешел в статус «Ошибка» менее двух раз подряд;</w:t>
      </w:r>
    </w:p>
    <w:p w14:paraId="779C151F">
      <w:pPr>
        <w:pStyle w:val="76"/>
      </w:pPr>
      <w:r>
        <w:t>«Недостаточно прав для выполнения указанного действия. Счёт находится на стороне МО» — версия счёта находится на стороне МО.</w:t>
      </w:r>
    </w:p>
    <w:p w14:paraId="0567E57F">
      <w:pPr>
        <w:pStyle w:val="58"/>
      </w:pPr>
      <w:bookmarkStart w:id="1636" w:name="_Toc225866333"/>
      <w:bookmarkStart w:id="1637" w:name="_Ref225782927"/>
      <w:bookmarkStart w:id="1638" w:name="_Ref225783267"/>
      <w:bookmarkStart w:id="1639" w:name="_Ref225769835"/>
      <w:bookmarkStart w:id="1640" w:name="_Ref225783211"/>
      <w:r>
        <w:t>Просмотр сведений об информационном взаимодействии между МО и Плательщиком</w:t>
      </w:r>
      <w:bookmarkEnd w:id="1626"/>
      <w:bookmarkEnd w:id="1636"/>
      <w:bookmarkEnd w:id="1637"/>
      <w:bookmarkEnd w:id="1638"/>
      <w:bookmarkEnd w:id="1639"/>
      <w:bookmarkEnd w:id="1640"/>
    </w:p>
    <w:p w14:paraId="204E0C0B">
      <w:pPr>
        <w:pStyle w:val="69"/>
      </w:pPr>
      <w:bookmarkStart w:id="1641" w:name="_Hlk206010777"/>
      <w:r>
        <w:t>Просмотр сведений об информационном взаимодействии между МО и Плательщиком доступен для следующих ролей сотрудников ТФОМС:</w:t>
      </w:r>
    </w:p>
    <w:bookmarkEnd w:id="1641"/>
    <w:p w14:paraId="462AC718">
      <w:pPr>
        <w:pStyle w:val="76"/>
      </w:pPr>
      <w:r>
        <w:t>Плательщик ТФОМС;</w:t>
      </w:r>
    </w:p>
    <w:p w14:paraId="7224C4E6">
      <w:pPr>
        <w:pStyle w:val="76"/>
      </w:pPr>
      <w:r>
        <w:t>Куратор по СМО;</w:t>
      </w:r>
    </w:p>
    <w:p w14:paraId="4C1A4DBB">
      <w:pPr>
        <w:pStyle w:val="76"/>
      </w:pPr>
      <w:r>
        <w:t>Куратор по МО;</w:t>
      </w:r>
    </w:p>
    <w:p w14:paraId="12B3C7BC">
      <w:pPr>
        <w:pStyle w:val="76"/>
      </w:pPr>
      <w:r>
        <w:t>Администратор счетов субъекта.</w:t>
      </w:r>
    </w:p>
    <w:p w14:paraId="7DDBF30E">
      <w:pPr>
        <w:pStyle w:val="60"/>
      </w:pPr>
      <w:bookmarkStart w:id="1642" w:name="_Ref162368655"/>
      <w:bookmarkStart w:id="1643" w:name="_Toc225866334"/>
      <w:r>
        <w:t>Поиск и просмотр сведений</w:t>
      </w:r>
      <w:bookmarkEnd w:id="1642"/>
      <w:r>
        <w:t xml:space="preserve"> </w:t>
      </w:r>
      <w:bookmarkStart w:id="1644" w:name="_Hlk206010808"/>
      <w:r>
        <w:t>об информационном обмене</w:t>
      </w:r>
      <w:bookmarkEnd w:id="1643"/>
      <w:bookmarkEnd w:id="1644"/>
    </w:p>
    <w:p w14:paraId="7A084995">
      <w:pPr>
        <w:pStyle w:val="69"/>
      </w:pPr>
      <w:r>
        <w:t>Сведения об информационном взаимодействии между МО и Плательщиком отражаются в разделе «Информационный обмен».</w:t>
      </w:r>
    </w:p>
    <w:p w14:paraId="2AFBCFBE">
      <w:pPr>
        <w:pStyle w:val="69"/>
      </w:pPr>
      <w:r>
        <w:t xml:space="preserve">Для перехода в раздел в ленте главного меню раскрыть меню «Все разделы» и выбрать пункт «Информационный обмен» (рис. </w:t>
      </w:r>
      <w:r>
        <w:fldChar w:fldCharType="begin"/>
      </w:r>
      <w:r>
        <w:instrText xml:space="preserve"> REF  _Ref162519516 \h\#\0   \* MERGEFORMAT </w:instrText>
      </w:r>
      <w:r>
        <w:fldChar w:fldCharType="separate"/>
      </w:r>
      <w:r>
        <w:t>54</w:t>
      </w:r>
      <w:r>
        <w:fldChar w:fldCharType="end"/>
      </w:r>
      <w:r>
        <w:t>).</w:t>
      </w:r>
    </w:p>
    <w:p w14:paraId="195D742F">
      <w:pPr>
        <w:pStyle w:val="73"/>
      </w:pPr>
      <w:r>
        <w:t xml:space="preserve"> </w:t>
      </w:r>
      <w:r>
        <w:drawing>
          <wp:inline distT="0" distB="0" distL="0" distR="0">
            <wp:extent cx="5399405" cy="2510155"/>
            <wp:effectExtent l="19050" t="19050" r="10795" b="23495"/>
            <wp:docPr id="2698467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46799" name="Рисунок 1"/>
                    <pic:cNvPicPr>
                      <a:picLocks noChangeAspect="1"/>
                    </pic:cNvPicPr>
                  </pic:nvPicPr>
                  <pic:blipFill>
                    <a:blip r:embed="rId80"/>
                    <a:stretch>
                      <a:fillRect/>
                    </a:stretch>
                  </pic:blipFill>
                  <pic:spPr>
                    <a:xfrm>
                      <a:off x="0" y="0"/>
                      <a:ext cx="5400000" cy="2510325"/>
                    </a:xfrm>
                    <a:prstGeom prst="rect">
                      <a:avLst/>
                    </a:prstGeom>
                    <a:ln w="3175" cmpd="sng">
                      <a:solidFill>
                        <a:srgbClr val="000000"/>
                      </a:solidFill>
                    </a:ln>
                  </pic:spPr>
                </pic:pic>
              </a:graphicData>
            </a:graphic>
          </wp:inline>
        </w:drawing>
      </w:r>
    </w:p>
    <w:p w14:paraId="313EDF7B">
      <w:pPr>
        <w:pStyle w:val="74"/>
      </w:pPr>
      <w:bookmarkStart w:id="1645" w:name="_Ref162519516"/>
      <w:r>
        <w:t xml:space="preserve">Рисунок </w:t>
      </w:r>
      <w:r>
        <w:fldChar w:fldCharType="begin"/>
      </w:r>
      <w:r>
        <w:instrText xml:space="preserve"> SEQ Рисунок \* ARABIC </w:instrText>
      </w:r>
      <w:r>
        <w:fldChar w:fldCharType="separate"/>
      </w:r>
      <w:r>
        <w:t>54</w:t>
      </w:r>
      <w:r>
        <w:fldChar w:fldCharType="end"/>
      </w:r>
      <w:bookmarkEnd w:id="1645"/>
      <w:r>
        <w:t xml:space="preserve"> — Всплывающее меню «Все разделы». Выбор пункта «Информационный обмен»</w:t>
      </w:r>
    </w:p>
    <w:p w14:paraId="54103232">
      <w:pPr>
        <w:pStyle w:val="69"/>
      </w:pPr>
      <w:r>
        <w:t xml:space="preserve">Произойдет переход в раздел «Информационный обмен» (рис. </w:t>
      </w:r>
      <w:r>
        <w:fldChar w:fldCharType="begin"/>
      </w:r>
      <w:r>
        <w:instrText xml:space="preserve"> REF  _Ref162519561 \h\#\0   \* MERGEFORMAT </w:instrText>
      </w:r>
      <w:r>
        <w:fldChar w:fldCharType="separate"/>
      </w:r>
      <w:r>
        <w:t>55</w:t>
      </w:r>
      <w:r>
        <w:fldChar w:fldCharType="end"/>
      </w:r>
      <w:r>
        <w:t>).</w:t>
      </w:r>
    </w:p>
    <w:p w14:paraId="4EE6B122">
      <w:pPr>
        <w:pStyle w:val="73"/>
      </w:pPr>
      <w:r>
        <w:drawing>
          <wp:inline distT="0" distB="0" distL="0" distR="0">
            <wp:extent cx="6119495" cy="2120900"/>
            <wp:effectExtent l="19050" t="19050" r="14605" b="12700"/>
            <wp:docPr id="11824093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09331" name="Рисунок 1"/>
                    <pic:cNvPicPr>
                      <a:picLocks noChangeAspect="1"/>
                    </pic:cNvPicPr>
                  </pic:nvPicPr>
                  <pic:blipFill>
                    <a:blip r:embed="rId81"/>
                    <a:stretch>
                      <a:fillRect/>
                    </a:stretch>
                  </pic:blipFill>
                  <pic:spPr>
                    <a:xfrm>
                      <a:off x="0" y="0"/>
                      <a:ext cx="6119495" cy="2120900"/>
                    </a:xfrm>
                    <a:prstGeom prst="rect">
                      <a:avLst/>
                    </a:prstGeom>
                    <a:ln w="3175" cmpd="sng">
                      <a:solidFill>
                        <a:srgbClr val="000000"/>
                      </a:solidFill>
                    </a:ln>
                  </pic:spPr>
                </pic:pic>
              </a:graphicData>
            </a:graphic>
          </wp:inline>
        </w:drawing>
      </w:r>
    </w:p>
    <w:p w14:paraId="3C63F80B">
      <w:pPr>
        <w:pStyle w:val="74"/>
      </w:pPr>
      <w:bookmarkStart w:id="1646" w:name="_Ref162519561"/>
      <w:r>
        <w:t xml:space="preserve">Рисунок </w:t>
      </w:r>
      <w:r>
        <w:fldChar w:fldCharType="begin"/>
      </w:r>
      <w:r>
        <w:instrText xml:space="preserve"> SEQ Рисунок \* ARABIC </w:instrText>
      </w:r>
      <w:r>
        <w:fldChar w:fldCharType="separate"/>
      </w:r>
      <w:r>
        <w:t>55</w:t>
      </w:r>
      <w:r>
        <w:fldChar w:fldCharType="end"/>
      </w:r>
      <w:bookmarkEnd w:id="1646"/>
      <w:r>
        <w:t xml:space="preserve"> — Счета/ответы, сформированные в ходе информационного взаимодействия</w:t>
      </w:r>
    </w:p>
    <w:p w14:paraId="00EBB4A2">
      <w:pPr>
        <w:pStyle w:val="69"/>
      </w:pPr>
      <w:bookmarkStart w:id="1647" w:name="_Hlk206123354"/>
      <w:r>
        <w:t>В панели фильтрации в блоке «Обмен» указать параметры поиска информационной посылки. Поиск возможен как по одному, так и по нескольким параметрам одновременно:</w:t>
      </w:r>
    </w:p>
    <w:p w14:paraId="6D7D4898">
      <w:pPr>
        <w:pStyle w:val="76"/>
      </w:pPr>
      <w:r>
        <w:t>«Тип посылки» — возможные значения: «Отправлено МО», «Отправлено плательщиком»;</w:t>
      </w:r>
    </w:p>
    <w:p w14:paraId="7A56F3B1">
      <w:pPr>
        <w:pStyle w:val="76"/>
      </w:pPr>
      <w:r>
        <w:t>«Период с» — дата начала отправки по счетам/ответам;</w:t>
      </w:r>
    </w:p>
    <w:p w14:paraId="74CFB812">
      <w:pPr>
        <w:pStyle w:val="76"/>
      </w:pPr>
      <w:r>
        <w:t>«Период по» — дата окончания отправки данных по счетам/ответам;</w:t>
      </w:r>
    </w:p>
    <w:p w14:paraId="5FD58498">
      <w:pPr>
        <w:pStyle w:val="76"/>
      </w:pPr>
      <w:r>
        <w:t>«Отчетный период» — отчетный период счетов/ответов.</w:t>
      </w:r>
    </w:p>
    <w:p w14:paraId="2323B6E4">
      <w:pPr>
        <w:pStyle w:val="69"/>
      </w:pPr>
      <w:r>
        <w:t>Указать параметры поиска и нажать кнопку «Найти».</w:t>
      </w:r>
    </w:p>
    <w:p w14:paraId="6DEDE5AB">
      <w:pPr>
        <w:pStyle w:val="69"/>
      </w:pPr>
      <w:r>
        <w:t>В рабочей области отобразятся результаты, соответствующие критериям поиска.</w:t>
      </w:r>
    </w:p>
    <w:p w14:paraId="5A90D1EC">
      <w:pPr>
        <w:pStyle w:val="69"/>
      </w:pPr>
      <w:r>
        <w:t>Табличная часть содержит следующие поля:</w:t>
      </w:r>
    </w:p>
    <w:p w14:paraId="00D22DDE">
      <w:pPr>
        <w:pStyle w:val="76"/>
      </w:pPr>
      <w:r>
        <w:t>«№ п/п» — порядковый номер сообщения;</w:t>
      </w:r>
    </w:p>
    <w:p w14:paraId="1A365D0A">
      <w:pPr>
        <w:pStyle w:val="76"/>
      </w:pPr>
      <w:r>
        <w:t>«ИД» — идентификатор ответа Плательщика;</w:t>
      </w:r>
    </w:p>
    <w:p w14:paraId="329C15BD">
      <w:pPr>
        <w:pStyle w:val="76"/>
      </w:pPr>
      <w:r>
        <w:t>«ID исходного сообщения» — идентификатор сообщения МО, на который направлен ответ;</w:t>
      </w:r>
    </w:p>
    <w:p w14:paraId="28FAAF1E">
      <w:pPr>
        <w:pStyle w:val="76"/>
      </w:pPr>
      <w:r>
        <w:t>«Тип» — тип информационного сообщения:</w:t>
      </w:r>
    </w:p>
    <w:p w14:paraId="341CDD9D">
      <w:pPr>
        <w:pStyle w:val="78"/>
      </w:pPr>
      <w:r>
        <w:t>«Отправлено МО» — сообщение со счетом МО плательщику,</w:t>
      </w:r>
    </w:p>
    <w:p w14:paraId="526EABB6">
      <w:pPr>
        <w:pStyle w:val="78"/>
      </w:pPr>
      <w:r>
        <w:t>«Отправлено плательщиком» - сообщение с ответом плательщика по счету МО,</w:t>
      </w:r>
    </w:p>
    <w:p w14:paraId="7ABE34E0">
      <w:pPr>
        <w:pStyle w:val="76"/>
      </w:pPr>
      <w:r>
        <w:t>«Исходный ИД» — идентификатор архива информационной посылки;</w:t>
      </w:r>
    </w:p>
    <w:p w14:paraId="157E6850">
      <w:pPr>
        <w:pStyle w:val="76"/>
      </w:pPr>
      <w:r>
        <w:t xml:space="preserve">«Тип счета» — смотри </w:t>
      </w:r>
      <w:r>
        <w:fldChar w:fldCharType="begin"/>
      </w:r>
      <w:r>
        <w:instrText xml:space="preserve"> REF _Ref225767831 \n \h </w:instrText>
      </w:r>
      <w:r>
        <w:fldChar w:fldCharType="separate"/>
      </w:r>
      <w:r>
        <w:t>Приложение Б</w:t>
      </w:r>
      <w:r>
        <w:fldChar w:fldCharType="end"/>
      </w:r>
      <w:r>
        <w:t>;</w:t>
      </w:r>
    </w:p>
    <w:p w14:paraId="54CEFC6A">
      <w:pPr>
        <w:pStyle w:val="76"/>
      </w:pPr>
      <w:r>
        <w:t>«№ счета» — номер счета МО;</w:t>
      </w:r>
    </w:p>
    <w:p w14:paraId="23B658D5">
      <w:pPr>
        <w:pStyle w:val="76"/>
      </w:pPr>
      <w:r>
        <w:t>«Версия» — версия счета МО или ответа Плательщика;</w:t>
      </w:r>
    </w:p>
    <w:p w14:paraId="257AB38E">
      <w:pPr>
        <w:pStyle w:val="76"/>
      </w:pPr>
      <w:r>
        <w:t>«Вложения» — zip-архив информационного сообщения. Содержит ссылку для скачивания;</w:t>
      </w:r>
    </w:p>
    <w:p w14:paraId="672003EF">
      <w:pPr>
        <w:pStyle w:val="76"/>
      </w:pPr>
      <w:r>
        <w:t>«Организация отправителя» — код и наименование отправителя (МО, Плательщик);</w:t>
      </w:r>
    </w:p>
    <w:p w14:paraId="6F470FB2">
      <w:pPr>
        <w:pStyle w:val="76"/>
      </w:pPr>
      <w:r>
        <w:t>«Отправитель» — учетная запись инициатора отправки;</w:t>
      </w:r>
    </w:p>
    <w:p w14:paraId="23D1F340">
      <w:pPr>
        <w:pStyle w:val="76"/>
      </w:pPr>
      <w:r>
        <w:t>«Организация получателя» — код и наименование получателя (МО, Плательщик);</w:t>
      </w:r>
    </w:p>
    <w:p w14:paraId="143219F3">
      <w:pPr>
        <w:pStyle w:val="76"/>
      </w:pPr>
      <w:r>
        <w:t>«Получатель»;</w:t>
      </w:r>
    </w:p>
    <w:p w14:paraId="611A4389">
      <w:pPr>
        <w:pStyle w:val="76"/>
      </w:pPr>
      <w:r>
        <w:t>«Отправлено» — дата отправки сообщения в формате дд.мм.гггг чч:мм;</w:t>
      </w:r>
    </w:p>
    <w:p w14:paraId="479DCAD1">
      <w:pPr>
        <w:pStyle w:val="76"/>
      </w:pPr>
      <w:r>
        <w:t>«Статус» — статус счета МО или статус ответа Плательщика:</w:t>
      </w:r>
    </w:p>
    <w:p w14:paraId="0B7A8AEC">
      <w:pPr>
        <w:pStyle w:val="78"/>
      </w:pPr>
      <w:r>
        <w:t>«ОК» — в случае успешной доставки сообщения,</w:t>
      </w:r>
    </w:p>
    <w:p w14:paraId="77302EC9">
      <w:pPr>
        <w:pStyle w:val="78"/>
      </w:pPr>
      <w:r>
        <w:t>«Ошибка» — в случае неуспешной доставки сообщения;</w:t>
      </w:r>
    </w:p>
    <w:p w14:paraId="0E7FD7EC">
      <w:pPr>
        <w:pStyle w:val="76"/>
      </w:pPr>
      <w:r>
        <w:t>«Информация» — служебное поле с описанием причины ошибки. Заполняется в случае статуса «Ошибка»;</w:t>
      </w:r>
    </w:p>
    <w:p w14:paraId="598B38CC">
      <w:pPr>
        <w:pStyle w:val="76"/>
      </w:pPr>
      <w:r>
        <w:t>«№ ответа» — идентификатор ответа. Заполняется только для ответов Плательщика;</w:t>
      </w:r>
    </w:p>
    <w:p w14:paraId="4D0ECF90">
      <w:pPr>
        <w:pStyle w:val="76"/>
      </w:pPr>
      <w:r>
        <w:t>«Тип ответа» — для ответа Плательщика: «Финальный» или «Предварительный»;</w:t>
      </w:r>
    </w:p>
    <w:p w14:paraId="0931185E">
      <w:pPr>
        <w:pStyle w:val="76"/>
      </w:pPr>
      <w:r>
        <w:t>«Территориальная программа» — код и наименование субъекта РФ;</w:t>
      </w:r>
    </w:p>
    <w:p w14:paraId="4C3D9EE7">
      <w:pPr>
        <w:pStyle w:val="76"/>
      </w:pPr>
      <w:r>
        <w:drawing>
          <wp:inline distT="0" distB="0" distL="0" distR="0">
            <wp:extent cx="179705" cy="191770"/>
            <wp:effectExtent l="19050" t="19050" r="10795" b="17780"/>
            <wp:docPr id="900881353" name="Рисунок 90088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881353" name="Рисунок 900881353"/>
                    <pic:cNvPicPr>
                      <a:picLocks noChangeAspect="1"/>
                    </pic:cNvPicPr>
                  </pic:nvPicPr>
                  <pic:blipFill>
                    <a:blip r:embed="rId32"/>
                    <a:stretch>
                      <a:fillRect/>
                    </a:stretch>
                  </pic:blipFill>
                  <pic:spPr>
                    <a:xfrm>
                      <a:off x="0" y="0"/>
                      <a:ext cx="180000" cy="192000"/>
                    </a:xfrm>
                    <a:prstGeom prst="rect">
                      <a:avLst/>
                    </a:prstGeom>
                    <a:ln w="3175" cmpd="sng">
                      <a:solidFill>
                        <a:srgbClr val="000000"/>
                      </a:solidFill>
                    </a:ln>
                  </pic:spPr>
                </pic:pic>
              </a:graphicData>
            </a:graphic>
          </wp:inline>
        </w:drawing>
      </w:r>
      <w:r>
        <w:t xml:space="preserve"> «Настройка» — управляющий элемент настройки отображения столбцов.</w:t>
      </w:r>
      <w:bookmarkEnd w:id="1647"/>
    </w:p>
    <w:p w14:paraId="7305EAB7">
      <w:pPr>
        <w:pStyle w:val="60"/>
      </w:pPr>
      <w:bookmarkStart w:id="1648" w:name="_Toc163043295"/>
      <w:bookmarkEnd w:id="1648"/>
      <w:bookmarkStart w:id="1649" w:name="_Toc163041656"/>
      <w:bookmarkEnd w:id="1649"/>
      <w:bookmarkStart w:id="1650" w:name="_Toc163041809"/>
      <w:bookmarkEnd w:id="1650"/>
      <w:bookmarkStart w:id="1651" w:name="_Toc163041657"/>
      <w:bookmarkEnd w:id="1651"/>
      <w:bookmarkStart w:id="1652" w:name="_Toc163041810"/>
      <w:bookmarkEnd w:id="1652"/>
      <w:bookmarkStart w:id="1653" w:name="_Toc163043296"/>
      <w:bookmarkEnd w:id="1653"/>
      <w:bookmarkStart w:id="1654" w:name="_Toc225866335"/>
      <w:bookmarkStart w:id="1655" w:name="_Ref162368679"/>
      <w:r>
        <w:t>Выгрузка отчетов информационного взаимодействия</w:t>
      </w:r>
      <w:bookmarkEnd w:id="1654"/>
      <w:bookmarkEnd w:id="1655"/>
    </w:p>
    <w:p w14:paraId="2C059E4B">
      <w:pPr>
        <w:pStyle w:val="69"/>
      </w:pPr>
      <w:bookmarkStart w:id="1656" w:name="_Hlk206123399"/>
      <w:r>
        <w:t xml:space="preserve">Чтобы выгрузить информационную посылку нажать </w:t>
      </w:r>
      <w:r>
        <w:drawing>
          <wp:inline distT="0" distB="0" distL="0" distR="0">
            <wp:extent cx="251460" cy="256540"/>
            <wp:effectExtent l="19050" t="19050" r="15240" b="10160"/>
            <wp:docPr id="18683379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337970" name="Рисунок 1"/>
                    <pic:cNvPicPr>
                      <a:picLocks noChangeAspect="1"/>
                    </pic:cNvPicPr>
                  </pic:nvPicPr>
                  <pic:blipFill>
                    <a:blip r:embed="rId82"/>
                    <a:stretch>
                      <a:fillRect/>
                    </a:stretch>
                  </pic:blipFill>
                  <pic:spPr>
                    <a:xfrm>
                      <a:off x="0" y="0"/>
                      <a:ext cx="252000" cy="256582"/>
                    </a:xfrm>
                    <a:prstGeom prst="rect">
                      <a:avLst/>
                    </a:prstGeom>
                    <a:ln w="3175" cmpd="sng">
                      <a:solidFill>
                        <a:srgbClr val="000000"/>
                      </a:solidFill>
                    </a:ln>
                  </pic:spPr>
                </pic:pic>
              </a:graphicData>
            </a:graphic>
          </wp:inline>
        </w:drawing>
      </w:r>
      <w:r>
        <w:t xml:space="preserve"> «Скачать» в столбце «Вложения» (рис. </w:t>
      </w:r>
      <w:r>
        <w:fldChar w:fldCharType="begin"/>
      </w:r>
      <w:r>
        <w:instrText xml:space="preserve"> REF  _Ref206011544 \h \t\#\0   \* MERGEFORMAT </w:instrText>
      </w:r>
      <w:r>
        <w:fldChar w:fldCharType="separate"/>
      </w:r>
      <w:r>
        <w:t>56</w:t>
      </w:r>
      <w:r>
        <w:fldChar w:fldCharType="end"/>
      </w:r>
      <w:r>
        <w:t>).</w:t>
      </w:r>
    </w:p>
    <w:p w14:paraId="6E96784A">
      <w:pPr>
        <w:pStyle w:val="73"/>
      </w:pPr>
      <w:r>
        <w:rPr>
          <w:lang w:val="en-US"/>
        </w:rPr>
        <w:drawing>
          <wp:inline distT="0" distB="0" distL="0" distR="0">
            <wp:extent cx="6119495" cy="1772920"/>
            <wp:effectExtent l="19050" t="19050" r="14605" b="17780"/>
            <wp:docPr id="7020402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040248" name="Рисунок 1"/>
                    <pic:cNvPicPr>
                      <a:picLocks noChangeAspect="1"/>
                    </pic:cNvPicPr>
                  </pic:nvPicPr>
                  <pic:blipFill>
                    <a:blip r:embed="rId83"/>
                    <a:stretch>
                      <a:fillRect/>
                    </a:stretch>
                  </pic:blipFill>
                  <pic:spPr>
                    <a:xfrm>
                      <a:off x="0" y="0"/>
                      <a:ext cx="6119495" cy="1772920"/>
                    </a:xfrm>
                    <a:prstGeom prst="rect">
                      <a:avLst/>
                    </a:prstGeom>
                    <a:ln w="3175" cmpd="sng">
                      <a:solidFill>
                        <a:srgbClr val="000000"/>
                      </a:solidFill>
                    </a:ln>
                  </pic:spPr>
                </pic:pic>
              </a:graphicData>
            </a:graphic>
          </wp:inline>
        </w:drawing>
      </w:r>
    </w:p>
    <w:p w14:paraId="1D918EF1">
      <w:pPr>
        <w:pStyle w:val="74"/>
      </w:pPr>
      <w:bookmarkStart w:id="1657" w:name="_Ref206011544"/>
      <w:r>
        <w:t xml:space="preserve">Рисунок </w:t>
      </w:r>
      <w:r>
        <w:fldChar w:fldCharType="begin"/>
      </w:r>
      <w:r>
        <w:instrText xml:space="preserve"> SEQ Рисунок \* ARABIC </w:instrText>
      </w:r>
      <w:r>
        <w:fldChar w:fldCharType="separate"/>
      </w:r>
      <w:r>
        <w:t>56</w:t>
      </w:r>
      <w:r>
        <w:fldChar w:fldCharType="end"/>
      </w:r>
      <w:bookmarkEnd w:id="1657"/>
      <w:r>
        <w:t xml:space="preserve"> — Скачивание информационной посылки</w:t>
      </w:r>
    </w:p>
    <w:p w14:paraId="0E654ABD">
      <w:pPr>
        <w:pStyle w:val="69"/>
      </w:pPr>
      <w:bookmarkStart w:id="1658" w:name="_Hlk206011662"/>
      <w:r>
        <w:t>Архив с ответом автоматически скачивается локально в папку «Загрузки»:</w:t>
      </w:r>
    </w:p>
    <w:p w14:paraId="5EF0F911">
      <w:pPr>
        <w:pStyle w:val="76"/>
      </w:pPr>
      <w:r>
        <w:rPr>
          <w:lang w:val="en-US"/>
        </w:rPr>
        <w:t>ZIP</w:t>
      </w:r>
      <w:r>
        <w:t>-архив предварительного ответа плательщика — наименование архива начинается на «15»;</w:t>
      </w:r>
    </w:p>
    <w:p w14:paraId="5D8FFB28">
      <w:pPr>
        <w:pStyle w:val="76"/>
      </w:pPr>
      <w:r>
        <w:rPr>
          <w:lang w:val="en-US"/>
        </w:rPr>
        <w:t>ZIP</w:t>
      </w:r>
      <w:r>
        <w:t>-архив финального ответа плательщика — наименование архива начинается на «16».</w:t>
      </w:r>
    </w:p>
    <w:p w14:paraId="77A322A4">
      <w:pPr>
        <w:pStyle w:val="76"/>
      </w:pPr>
      <w:r>
        <w:t>ZIP-архив с документами результатов МЭК — наименование архива начинается на «23».</w:t>
      </w:r>
    </w:p>
    <w:p w14:paraId="4874EA1C">
      <w:pPr>
        <w:pStyle w:val="69"/>
      </w:pPr>
      <w:r>
        <w:t xml:space="preserve">Для просмотра данных информационной посылки необходимо распаковать сохраненный </w:t>
      </w:r>
      <w:r>
        <w:rPr>
          <w:lang w:val="en-US"/>
        </w:rPr>
        <w:t>zip</w:t>
      </w:r>
      <w:r>
        <w:t>-архив. Описание сведений в составе ответов приведено в п.</w:t>
      </w:r>
      <w:r>
        <w:fldChar w:fldCharType="begin"/>
      </w:r>
      <w:r>
        <w:instrText xml:space="preserve"> REF _Ref205812188 \n \h </w:instrText>
      </w:r>
      <w:r>
        <w:fldChar w:fldCharType="separate"/>
      </w:r>
      <w:r>
        <w:t>4.3.2.1</w:t>
      </w:r>
      <w:r>
        <w:fldChar w:fldCharType="end"/>
      </w:r>
      <w:r>
        <w:t>-</w:t>
      </w:r>
      <w:r>
        <w:fldChar w:fldCharType="begin"/>
      </w:r>
      <w:r>
        <w:instrText xml:space="preserve"> REF _Ref225786310 \n \h </w:instrText>
      </w:r>
      <w:r>
        <w:fldChar w:fldCharType="separate"/>
      </w:r>
      <w:r>
        <w:t>4.3.2.3</w:t>
      </w:r>
      <w:r>
        <w:fldChar w:fldCharType="end"/>
      </w:r>
      <w:r>
        <w:t>.</w:t>
      </w:r>
    </w:p>
    <w:p w14:paraId="484609D1">
      <w:pPr>
        <w:pStyle w:val="69"/>
      </w:pPr>
      <w:r>
        <w:t xml:space="preserve">Документы в архиве представлены как в формате </w:t>
      </w:r>
      <w:r>
        <w:rPr>
          <w:lang w:val="en-US"/>
        </w:rPr>
        <w:t>PDF</w:t>
      </w:r>
      <w:r>
        <w:t xml:space="preserve">, так и в виде файлов формата </w:t>
      </w:r>
      <w:r>
        <w:rPr>
          <w:lang w:val="en-US"/>
        </w:rPr>
        <w:t>XML</w:t>
      </w:r>
      <w:r>
        <w:t xml:space="preserve"> (имя_файла.</w:t>
      </w:r>
      <w:r>
        <w:rPr>
          <w:lang w:val="en-US"/>
        </w:rPr>
        <w:t>xml</w:t>
      </w:r>
      <w:r>
        <w:t xml:space="preserve">) или </w:t>
      </w:r>
      <w:r>
        <w:rPr>
          <w:lang w:val="en-US"/>
        </w:rPr>
        <w:t>CSV</w:t>
      </w:r>
      <w:r>
        <w:t xml:space="preserve"> (имя_файла.</w:t>
      </w:r>
      <w:r>
        <w:rPr>
          <w:lang w:val="en-US"/>
        </w:rPr>
        <w:t>csv</w:t>
      </w:r>
      <w:r>
        <w:t xml:space="preserve">). Описание работы с файлами формата </w:t>
      </w:r>
      <w:r>
        <w:rPr>
          <w:lang w:val="en-US"/>
        </w:rPr>
        <w:t>XML</w:t>
      </w:r>
      <w:r>
        <w:t xml:space="preserve"> и </w:t>
      </w:r>
      <w:r>
        <w:rPr>
          <w:lang w:val="en-US"/>
        </w:rPr>
        <w:t>CSV</w:t>
      </w:r>
      <w:r>
        <w:t xml:space="preserve"> приведено в Приложении </w:t>
      </w:r>
      <w:r>
        <w:fldChar w:fldCharType="begin"/>
      </w:r>
      <w:r>
        <w:instrText xml:space="preserve"> REF  _Ref184982730 \h \n \t  \* MERGEFORMAT </w:instrText>
      </w:r>
      <w:r>
        <w:fldChar w:fldCharType="separate"/>
      </w:r>
      <w:r>
        <w:t>В</w:t>
      </w:r>
      <w:r>
        <w:fldChar w:fldCharType="end"/>
      </w:r>
      <w:r>
        <w:t>.</w:t>
      </w:r>
    </w:p>
    <w:p w14:paraId="41F36201">
      <w:pPr>
        <w:pStyle w:val="61"/>
      </w:pPr>
      <w:bookmarkStart w:id="1659" w:name="_Ref205812188"/>
      <w:bookmarkStart w:id="1660" w:name="_Hlk205811720"/>
      <w:r>
        <w:t>Состав архива с типом ответа «Предварительный»</w:t>
      </w:r>
      <w:bookmarkEnd w:id="1659"/>
    </w:p>
    <w:bookmarkEnd w:id="1660"/>
    <w:p w14:paraId="31039A5A">
      <w:pPr>
        <w:pStyle w:val="69"/>
      </w:pPr>
      <w:bookmarkStart w:id="1661" w:name="_Hlk205808089"/>
      <w:r>
        <w:t xml:space="preserve">Состав информационной посылки предварительного ответа (наименование архива начинается на «15»). Пример файлов в составе предварительного ответа представлен на рисунке </w:t>
      </w:r>
      <w:r>
        <w:fldChar w:fldCharType="begin"/>
      </w:r>
      <w:r>
        <w:instrText xml:space="preserve"> REF  _Ref205812013 \h\#\0   \* MERGEFORMAT </w:instrText>
      </w:r>
      <w:r>
        <w:fldChar w:fldCharType="separate"/>
      </w:r>
      <w:r>
        <w:t>57</w:t>
      </w:r>
      <w:r>
        <w:fldChar w:fldCharType="end"/>
      </w:r>
      <w:r>
        <w:t>.</w:t>
      </w:r>
    </w:p>
    <w:p w14:paraId="72454E4D">
      <w:pPr>
        <w:pStyle w:val="73"/>
      </w:pPr>
      <w:r>
        <w:drawing>
          <wp:inline distT="0" distB="0" distL="0" distR="0">
            <wp:extent cx="3239770" cy="2307590"/>
            <wp:effectExtent l="19050" t="19050" r="17780" b="16510"/>
            <wp:docPr id="10273826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82631" name="Рисунок 1"/>
                    <pic:cNvPicPr>
                      <a:picLocks noChangeAspect="1"/>
                    </pic:cNvPicPr>
                  </pic:nvPicPr>
                  <pic:blipFill>
                    <a:blip r:embed="rId84"/>
                    <a:stretch>
                      <a:fillRect/>
                    </a:stretch>
                  </pic:blipFill>
                  <pic:spPr>
                    <a:xfrm>
                      <a:off x="0" y="0"/>
                      <a:ext cx="3240000" cy="2307822"/>
                    </a:xfrm>
                    <a:prstGeom prst="rect">
                      <a:avLst/>
                    </a:prstGeom>
                    <a:ln w="3175" cmpd="sng">
                      <a:solidFill>
                        <a:srgbClr val="000000"/>
                      </a:solidFill>
                    </a:ln>
                  </pic:spPr>
                </pic:pic>
              </a:graphicData>
            </a:graphic>
          </wp:inline>
        </w:drawing>
      </w:r>
    </w:p>
    <w:p w14:paraId="67D9D77B">
      <w:pPr>
        <w:pStyle w:val="74"/>
      </w:pPr>
      <w:bookmarkStart w:id="1662" w:name="_Ref205812013"/>
      <w:r>
        <w:t xml:space="preserve">Рисунок </w:t>
      </w:r>
      <w:r>
        <w:fldChar w:fldCharType="begin"/>
      </w:r>
      <w:r>
        <w:instrText xml:space="preserve"> SEQ Рисунок \* ARABIC </w:instrText>
      </w:r>
      <w:r>
        <w:fldChar w:fldCharType="separate"/>
      </w:r>
      <w:r>
        <w:t>57</w:t>
      </w:r>
      <w:r>
        <w:fldChar w:fldCharType="end"/>
      </w:r>
      <w:bookmarkEnd w:id="1662"/>
      <w:r>
        <w:t xml:space="preserve"> — Пример предварительного ответа Плательщика</w:t>
      </w:r>
    </w:p>
    <w:p w14:paraId="2B2C7F19">
      <w:pPr>
        <w:pStyle w:val="69"/>
      </w:pPr>
      <w:r>
        <w:t>Состав предварительного ответа:</w:t>
      </w:r>
    </w:p>
    <w:bookmarkEnd w:id="1661"/>
    <w:p w14:paraId="6514ADC2">
      <w:pPr>
        <w:pStyle w:val="76"/>
      </w:pPr>
      <w:r>
        <w:t>Заключение по результатам медико-экономического контроля в формате xml и pdf — наименование файла начинается на «01»;</w:t>
      </w:r>
    </w:p>
    <w:p w14:paraId="655AD6D9">
      <w:pPr>
        <w:pStyle w:val="76"/>
      </w:pPr>
      <w:r>
        <w:t>Реестр заключений по результатам медико-экономического контроля в формате xml и pdf — наименование файла начинается на «05»;</w:t>
      </w:r>
    </w:p>
    <w:p w14:paraId="68F127D5">
      <w:pPr>
        <w:pStyle w:val="76"/>
      </w:pPr>
      <w:r>
        <w:t>Акт расчётов в формате xml и pdf — наименование файла начинается на «12»;</w:t>
      </w:r>
    </w:p>
    <w:p w14:paraId="069210E4">
      <w:pPr>
        <w:pStyle w:val="76"/>
      </w:pPr>
      <w:r>
        <w:t>U-файл счёта в формате xml — наименование файла начинается на «10»;</w:t>
      </w:r>
    </w:p>
    <w:p w14:paraId="2C9EADA2">
      <w:pPr>
        <w:pStyle w:val="76"/>
      </w:pPr>
      <w:r>
        <w:t>Отчет с результатами МЭК счета — файл MEK_REPORT в формате csv.</w:t>
      </w:r>
    </w:p>
    <w:p w14:paraId="5E77D92C">
      <w:pPr>
        <w:pStyle w:val="61"/>
      </w:pPr>
      <w:bookmarkStart w:id="1663" w:name="_Ref205812195"/>
      <w:r>
        <w:t xml:space="preserve">Состав архива </w:t>
      </w:r>
      <w:bookmarkStart w:id="1664" w:name="_Hlk205811746"/>
      <w:r>
        <w:t>с типом ответа «Финальный»</w:t>
      </w:r>
      <w:bookmarkEnd w:id="1663"/>
      <w:bookmarkEnd w:id="1664"/>
    </w:p>
    <w:p w14:paraId="36D3451A">
      <w:pPr>
        <w:pStyle w:val="69"/>
      </w:pPr>
      <w:r>
        <w:t>Архив информационной посылки финального ответа содержит следующие файлы:</w:t>
      </w:r>
    </w:p>
    <w:p w14:paraId="620EC14C">
      <w:pPr>
        <w:pStyle w:val="75"/>
        <w:numPr>
          <w:ilvl w:val="0"/>
          <w:numId w:val="21"/>
        </w:numPr>
        <w:ind w:left="0"/>
      </w:pPr>
      <w:r>
        <w:t>файл с подписью (.sig);</w:t>
      </w:r>
    </w:p>
    <w:p w14:paraId="6B1A6C0E">
      <w:pPr>
        <w:pStyle w:val="75"/>
        <w:tabs>
          <w:tab w:val="clear" w:pos="0"/>
        </w:tabs>
      </w:pPr>
      <w:r>
        <w:t>архив финального ответа Плательщика (наименование файла начинается на «16»);</w:t>
      </w:r>
    </w:p>
    <w:p w14:paraId="6FB0410E">
      <w:pPr>
        <w:pStyle w:val="75"/>
        <w:tabs>
          <w:tab w:val="clear" w:pos="0"/>
        </w:tabs>
      </w:pPr>
      <w:r>
        <w:t>архив с документами результатов МЭК (наименование файла начинается на «23»).</w:t>
      </w:r>
    </w:p>
    <w:p w14:paraId="57BCAC8C">
      <w:pPr>
        <w:pStyle w:val="69"/>
      </w:pPr>
      <w:r>
        <w:t xml:space="preserve">Пример информационной посылки финального ответа представлен на рисунке </w:t>
      </w:r>
    </w:p>
    <w:p w14:paraId="7C345770">
      <w:pPr>
        <w:pStyle w:val="73"/>
      </w:pPr>
      <w:r>
        <w:drawing>
          <wp:inline distT="0" distB="0" distL="0" distR="0">
            <wp:extent cx="3933825" cy="1104900"/>
            <wp:effectExtent l="19050" t="19050" r="28575" b="19050"/>
            <wp:docPr id="17418198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819879" name="Рисунок 1"/>
                    <pic:cNvPicPr>
                      <a:picLocks noChangeAspect="1"/>
                    </pic:cNvPicPr>
                  </pic:nvPicPr>
                  <pic:blipFill>
                    <a:blip r:embed="rId85"/>
                    <a:stretch>
                      <a:fillRect/>
                    </a:stretch>
                  </pic:blipFill>
                  <pic:spPr>
                    <a:xfrm>
                      <a:off x="0" y="0"/>
                      <a:ext cx="3934374" cy="1105054"/>
                    </a:xfrm>
                    <a:prstGeom prst="rect">
                      <a:avLst/>
                    </a:prstGeom>
                    <a:ln w="3175" cmpd="sng">
                      <a:solidFill>
                        <a:srgbClr val="000000"/>
                      </a:solidFill>
                    </a:ln>
                  </pic:spPr>
                </pic:pic>
              </a:graphicData>
            </a:graphic>
          </wp:inline>
        </w:drawing>
      </w:r>
    </w:p>
    <w:p w14:paraId="7F0B690E">
      <w:pPr>
        <w:pStyle w:val="74"/>
      </w:pPr>
      <w:r>
        <w:t xml:space="preserve">Рисунок </w:t>
      </w:r>
      <w:r>
        <w:fldChar w:fldCharType="begin"/>
      </w:r>
      <w:r>
        <w:instrText xml:space="preserve"> SEQ Рисунок \* ARABIC </w:instrText>
      </w:r>
      <w:r>
        <w:fldChar w:fldCharType="separate"/>
      </w:r>
      <w:r>
        <w:t>58</w:t>
      </w:r>
      <w:r>
        <w:fldChar w:fldCharType="end"/>
      </w:r>
      <w:r>
        <w:t xml:space="preserve"> — Пример информационной посылки. Тип ответа «Финальный»</w:t>
      </w:r>
    </w:p>
    <w:p w14:paraId="73CA4A93">
      <w:pPr>
        <w:pStyle w:val="69"/>
      </w:pPr>
      <w:r>
        <w:t xml:space="preserve">Пример файлов в составе финального ответа Плательщика представлен на рисунке </w:t>
      </w:r>
      <w:r>
        <w:fldChar w:fldCharType="begin"/>
      </w:r>
      <w:r>
        <w:instrText xml:space="preserve"> REF  _Ref205810770 \h\#\0   \* MERGEFORMAT </w:instrText>
      </w:r>
      <w:r>
        <w:fldChar w:fldCharType="separate"/>
      </w:r>
      <w:r>
        <w:t>59</w:t>
      </w:r>
      <w:r>
        <w:fldChar w:fldCharType="end"/>
      </w:r>
      <w:r>
        <w:t>.</w:t>
      </w:r>
      <w:bookmarkStart w:id="1665" w:name="_Hlk195091387"/>
    </w:p>
    <w:bookmarkEnd w:id="1665"/>
    <w:p w14:paraId="329BD96C">
      <w:pPr>
        <w:pStyle w:val="73"/>
      </w:pPr>
      <w:r>
        <w:drawing>
          <wp:inline distT="0" distB="0" distL="0" distR="0">
            <wp:extent cx="3676650" cy="1933575"/>
            <wp:effectExtent l="19050" t="19050" r="19050" b="28575"/>
            <wp:docPr id="9386268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626820" name="Рисунок 1"/>
                    <pic:cNvPicPr>
                      <a:picLocks noChangeAspect="1"/>
                    </pic:cNvPicPr>
                  </pic:nvPicPr>
                  <pic:blipFill>
                    <a:blip r:embed="rId86"/>
                    <a:stretch>
                      <a:fillRect/>
                    </a:stretch>
                  </pic:blipFill>
                  <pic:spPr>
                    <a:xfrm>
                      <a:off x="0" y="0"/>
                      <a:ext cx="3677163" cy="1933845"/>
                    </a:xfrm>
                    <a:prstGeom prst="rect">
                      <a:avLst/>
                    </a:prstGeom>
                    <a:ln w="3175" cmpd="sng">
                      <a:solidFill>
                        <a:srgbClr val="000000"/>
                      </a:solidFill>
                    </a:ln>
                  </pic:spPr>
                </pic:pic>
              </a:graphicData>
            </a:graphic>
          </wp:inline>
        </w:drawing>
      </w:r>
    </w:p>
    <w:p w14:paraId="1FF0CCFE">
      <w:pPr>
        <w:pStyle w:val="74"/>
      </w:pPr>
      <w:bookmarkStart w:id="1666" w:name="_Ref205810770"/>
      <w:r>
        <w:t xml:space="preserve">Рисунок </w:t>
      </w:r>
      <w:r>
        <w:fldChar w:fldCharType="begin"/>
      </w:r>
      <w:r>
        <w:instrText xml:space="preserve"> SEQ Рисунок \* ARABIC </w:instrText>
      </w:r>
      <w:r>
        <w:fldChar w:fldCharType="separate"/>
      </w:r>
      <w:r>
        <w:t>59</w:t>
      </w:r>
      <w:r>
        <w:fldChar w:fldCharType="end"/>
      </w:r>
      <w:bookmarkEnd w:id="1666"/>
      <w:r>
        <w:t xml:space="preserve"> — Пример финального ответа Плательщика</w:t>
      </w:r>
    </w:p>
    <w:p w14:paraId="73F4EE0F">
      <w:pPr>
        <w:pStyle w:val="69"/>
      </w:pPr>
      <w:r>
        <w:t>Состав архива финального ответа:</w:t>
      </w:r>
    </w:p>
    <w:p w14:paraId="165DA1B9">
      <w:pPr>
        <w:pStyle w:val="76"/>
      </w:pPr>
      <w:r>
        <w:t>Акт подушевого финансирования в форматах xml и pdf и файл с подписью акта подушевого финансирования (.</w:t>
      </w:r>
      <w:r>
        <w:rPr>
          <w:lang w:val="en-US"/>
        </w:rPr>
        <w:t>sig</w:t>
      </w:r>
      <w:r>
        <w:t>) — наименование файла начинается на «13»;</w:t>
      </w:r>
    </w:p>
    <w:p w14:paraId="2111FBD1">
      <w:pPr>
        <w:pStyle w:val="76"/>
      </w:pPr>
      <w:r>
        <w:t>U-файл счёта в формате xml — наименование файла начинается на «10»;</w:t>
      </w:r>
    </w:p>
    <w:p w14:paraId="49F650F3">
      <w:pPr>
        <w:pStyle w:val="76"/>
      </w:pPr>
      <w:r>
        <w:t>Акт расчётов в формате xml и pdf и файл с подписью акта расчета (.</w:t>
      </w:r>
      <w:r>
        <w:rPr>
          <w:lang w:val="en-US"/>
        </w:rPr>
        <w:t>sig</w:t>
      </w:r>
      <w:r>
        <w:t>) — наименование файла начинается на «12»;</w:t>
      </w:r>
    </w:p>
    <w:p w14:paraId="098C53D2">
      <w:pPr>
        <w:pStyle w:val="76"/>
      </w:pPr>
      <w:r>
        <w:t>M</w:t>
      </w:r>
      <w:r>
        <w:rPr>
          <w:lang w:val="en-US"/>
        </w:rPr>
        <w:t>E</w:t>
      </w:r>
      <w:r>
        <w:t>-файл с результатами экспертиз за предыдущие периоды в формате xml — наименование файла начинается на «18»;</w:t>
      </w:r>
    </w:p>
    <w:p w14:paraId="67785516">
      <w:pPr>
        <w:pStyle w:val="76"/>
      </w:pPr>
      <w:r>
        <w:t>Отчет с результатами МЭК счета — файл MEK_REPORT в формате csv;</w:t>
      </w:r>
    </w:p>
    <w:p w14:paraId="47582C6C">
      <w:pPr>
        <w:pStyle w:val="76"/>
      </w:pPr>
      <w:r>
        <w:t>Входящие горизонтальные взаиморасчеты — файл incomingHorizontalCalculations в формате csv;</w:t>
      </w:r>
    </w:p>
    <w:p w14:paraId="2522BB90">
      <w:pPr>
        <w:pStyle w:val="76"/>
      </w:pPr>
      <w:r>
        <w:t>Исходящие горизонтальные взаиморасчеты— файл outcomingHorizontalCalculations в формате csv.</w:t>
      </w:r>
    </w:p>
    <w:p w14:paraId="0E6516DF">
      <w:pPr>
        <w:pStyle w:val="69"/>
      </w:pPr>
      <w:r>
        <w:t>Состав архива с результатами МЭК содержит следующие файлы в формате XML и PDF и файлы с подписью (</w:t>
      </w:r>
      <w:r>
        <w:rPr>
          <w:lang w:val="en-US"/>
        </w:rPr>
        <w:t>.sig</w:t>
      </w:r>
      <w:r>
        <w:t>):</w:t>
      </w:r>
    </w:p>
    <w:p w14:paraId="572B0F60">
      <w:pPr>
        <w:pStyle w:val="76"/>
      </w:pPr>
      <w:r>
        <w:t>Заключение по результатам медико-экономического контроля в формате xml и pdf — наименование файла начинается на «01»;</w:t>
      </w:r>
    </w:p>
    <w:p w14:paraId="29F9AFB7">
      <w:pPr>
        <w:pStyle w:val="76"/>
      </w:pPr>
      <w:r>
        <w:t>Реестр заключений по результатам медико-экономического контроля в формате xml и pdf — наименование файла начинается на «05».</w:t>
      </w:r>
    </w:p>
    <w:p w14:paraId="6AD6D126">
      <w:pPr>
        <w:pStyle w:val="73"/>
      </w:pPr>
      <w:r>
        <w:drawing>
          <wp:inline distT="0" distB="0" distL="0" distR="0">
            <wp:extent cx="2628900" cy="1447800"/>
            <wp:effectExtent l="19050" t="19050" r="19050" b="19050"/>
            <wp:docPr id="9717223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722336" name="Рисунок 1"/>
                    <pic:cNvPicPr>
                      <a:picLocks noChangeAspect="1"/>
                    </pic:cNvPicPr>
                  </pic:nvPicPr>
                  <pic:blipFill>
                    <a:blip r:embed="rId87"/>
                    <a:stretch>
                      <a:fillRect/>
                    </a:stretch>
                  </pic:blipFill>
                  <pic:spPr>
                    <a:xfrm>
                      <a:off x="0" y="0"/>
                      <a:ext cx="2629267" cy="1448002"/>
                    </a:xfrm>
                    <a:prstGeom prst="rect">
                      <a:avLst/>
                    </a:prstGeom>
                    <a:ln w="3175" cmpd="sng">
                      <a:solidFill>
                        <a:srgbClr val="000000"/>
                      </a:solidFill>
                    </a:ln>
                  </pic:spPr>
                </pic:pic>
              </a:graphicData>
            </a:graphic>
          </wp:inline>
        </w:drawing>
      </w:r>
    </w:p>
    <w:p w14:paraId="4E229E8F">
      <w:pPr>
        <w:pStyle w:val="74"/>
      </w:pPr>
      <w:r>
        <w:t xml:space="preserve">Рисунок </w:t>
      </w:r>
      <w:r>
        <w:fldChar w:fldCharType="begin"/>
      </w:r>
      <w:r>
        <w:instrText xml:space="preserve"> SEQ Рисунок \* ARABIC </w:instrText>
      </w:r>
      <w:r>
        <w:fldChar w:fldCharType="separate"/>
      </w:r>
      <w:r>
        <w:t>60</w:t>
      </w:r>
      <w:r>
        <w:fldChar w:fldCharType="end"/>
      </w:r>
      <w:r>
        <w:t xml:space="preserve"> — Пример Архив с результатами МЭК</w:t>
      </w:r>
    </w:p>
    <w:p w14:paraId="3DEE0E05">
      <w:pPr>
        <w:pStyle w:val="61"/>
      </w:pPr>
      <w:bookmarkStart w:id="1667" w:name="_Ref225786310"/>
      <w:r>
        <w:t>Состав документов архива с типом сообщения «Отправлено МО»</w:t>
      </w:r>
      <w:bookmarkEnd w:id="1667"/>
    </w:p>
    <w:p w14:paraId="0B831CFC">
      <w:pPr>
        <w:pStyle w:val="69"/>
      </w:pPr>
      <w:r>
        <w:t xml:space="preserve">Состав документов в архиве (рис. </w:t>
      </w:r>
      <w:r>
        <w:fldChar w:fldCharType="begin"/>
      </w:r>
      <w:r>
        <w:instrText xml:space="preserve"> REF  _Ref225783494 \h \t \#\0 \* MERGEFORMAT </w:instrText>
      </w:r>
      <w:r>
        <w:fldChar w:fldCharType="separate"/>
      </w:r>
      <w:r>
        <w:t>61</w:t>
      </w:r>
      <w:r>
        <w:fldChar w:fldCharType="end"/>
      </w:r>
      <w:r>
        <w:t>):</w:t>
      </w:r>
    </w:p>
    <w:p w14:paraId="3FFBA220">
      <w:pPr>
        <w:pStyle w:val="76"/>
        <w:ind w:left="1"/>
      </w:pPr>
      <w:r>
        <w:rPr>
          <w:lang w:val="en-US"/>
        </w:rPr>
        <w:t>U</w:t>
      </w:r>
      <w:r>
        <w:t xml:space="preserve">-файл счета в формате </w:t>
      </w:r>
      <w:r>
        <w:rPr>
          <w:lang w:val="en-US"/>
        </w:rPr>
        <w:t>XML</w:t>
      </w:r>
      <w:r>
        <w:t xml:space="preserve"> — начинается на «10»;</w:t>
      </w:r>
    </w:p>
    <w:p w14:paraId="33877068">
      <w:pPr>
        <w:pStyle w:val="76"/>
        <w:ind w:left="1"/>
      </w:pPr>
      <w:r>
        <w:t xml:space="preserve">Паспорт счета в формате </w:t>
      </w:r>
      <w:r>
        <w:rPr>
          <w:lang w:val="en-US"/>
        </w:rPr>
        <w:t>PDF</w:t>
      </w:r>
      <w:r>
        <w:t xml:space="preserve"> и </w:t>
      </w:r>
      <w:r>
        <w:rPr>
          <w:lang w:val="en-US"/>
        </w:rPr>
        <w:t>XML</w:t>
      </w:r>
      <w:r>
        <w:t xml:space="preserve"> — начинается на «11»;</w:t>
      </w:r>
    </w:p>
    <w:p w14:paraId="6DF003E5">
      <w:pPr>
        <w:pStyle w:val="76"/>
        <w:ind w:left="1"/>
      </w:pPr>
      <w:r>
        <w:rPr>
          <w:lang w:val="en-US"/>
        </w:rPr>
        <w:t>H</w:t>
      </w:r>
      <w:r>
        <w:t xml:space="preserve">-файл в формате </w:t>
      </w:r>
      <w:r>
        <w:rPr>
          <w:lang w:val="en-US"/>
        </w:rPr>
        <w:t>XML</w:t>
      </w:r>
      <w:r>
        <w:t xml:space="preserve"> — начинается на «17», содержит сведения о половозрастном составе прикрепленного населения к МО счета;</w:t>
      </w:r>
    </w:p>
    <w:p w14:paraId="2BD25849">
      <w:pPr>
        <w:pStyle w:val="76"/>
        <w:ind w:left="1"/>
      </w:pPr>
      <w:r>
        <w:t xml:space="preserve">Файл </w:t>
      </w:r>
      <w:r>
        <w:rPr>
          <w:lang w:val="en-US"/>
        </w:rPr>
        <w:t>c</w:t>
      </w:r>
      <w:r>
        <w:t xml:space="preserve"> данными цифровой подписи (.</w:t>
      </w:r>
      <w:r>
        <w:rPr>
          <w:lang w:val="en-US"/>
        </w:rPr>
        <w:t>sig</w:t>
      </w:r>
      <w:r>
        <w:t>).</w:t>
      </w:r>
    </w:p>
    <w:p w14:paraId="3F91B82B">
      <w:pPr>
        <w:pStyle w:val="73"/>
      </w:pPr>
      <w:r>
        <w:drawing>
          <wp:inline distT="0" distB="0" distL="0" distR="0">
            <wp:extent cx="2638425" cy="1408430"/>
            <wp:effectExtent l="19050" t="19050" r="9525" b="20320"/>
            <wp:docPr id="315109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0997" name="Рисунок 1"/>
                    <pic:cNvPicPr>
                      <a:picLocks noChangeAspect="1"/>
                    </pic:cNvPicPr>
                  </pic:nvPicPr>
                  <pic:blipFill>
                    <a:blip r:embed="rId88"/>
                    <a:srcRect t="3337"/>
                    <a:stretch>
                      <a:fillRect/>
                    </a:stretch>
                  </pic:blipFill>
                  <pic:spPr>
                    <a:xfrm>
                      <a:off x="0" y="0"/>
                      <a:ext cx="2638793" cy="1408883"/>
                    </a:xfrm>
                    <a:prstGeom prst="rect">
                      <a:avLst/>
                    </a:prstGeom>
                    <a:ln w="3175" cmpd="sng">
                      <a:solidFill>
                        <a:srgbClr val="000000"/>
                      </a:solidFill>
                    </a:ln>
                  </pic:spPr>
                </pic:pic>
              </a:graphicData>
            </a:graphic>
          </wp:inline>
        </w:drawing>
      </w:r>
    </w:p>
    <w:p w14:paraId="545326AE">
      <w:pPr>
        <w:pStyle w:val="74"/>
      </w:pPr>
      <w:bookmarkStart w:id="1668" w:name="_Ref225781528"/>
      <w:bookmarkStart w:id="1669" w:name="_Ref225783494"/>
      <w:r>
        <w:t xml:space="preserve">Рисунок </w:t>
      </w:r>
      <w:r>
        <w:fldChar w:fldCharType="begin"/>
      </w:r>
      <w:r>
        <w:instrText xml:space="preserve"> SEQ Рисунок \* ARABIC </w:instrText>
      </w:r>
      <w:r>
        <w:fldChar w:fldCharType="separate"/>
      </w:r>
      <w:r>
        <w:t>61</w:t>
      </w:r>
      <w:r>
        <w:fldChar w:fldCharType="end"/>
      </w:r>
      <w:bookmarkEnd w:id="1668"/>
      <w:r>
        <w:t xml:space="preserve"> — Пример Архив с типом «Отправлено МО»</w:t>
      </w:r>
      <w:bookmarkEnd w:id="1669"/>
    </w:p>
    <w:bookmarkEnd w:id="1627"/>
    <w:bookmarkEnd w:id="1628"/>
    <w:bookmarkEnd w:id="1629"/>
    <w:bookmarkEnd w:id="1656"/>
    <w:bookmarkEnd w:id="1658"/>
    <w:p w14:paraId="673EBE35">
      <w:pPr>
        <w:pStyle w:val="58"/>
      </w:pPr>
      <w:bookmarkStart w:id="1670" w:name="_Ref163232171"/>
      <w:bookmarkStart w:id="1671" w:name="_Toc225866336"/>
      <w:r>
        <w:t xml:space="preserve">Просмотр </w:t>
      </w:r>
      <w:bookmarkStart w:id="1672" w:name="_Hlk206012677"/>
      <w:r>
        <w:t xml:space="preserve">учтенных </w:t>
      </w:r>
      <w:bookmarkEnd w:id="1672"/>
      <w:r>
        <w:t>сведений об оказанной медицинской помощи</w:t>
      </w:r>
      <w:bookmarkEnd w:id="1630"/>
      <w:bookmarkEnd w:id="1631"/>
      <w:bookmarkEnd w:id="1670"/>
      <w:bookmarkEnd w:id="1671"/>
    </w:p>
    <w:bookmarkEnd w:id="1632"/>
    <w:bookmarkEnd w:id="1633"/>
    <w:p w14:paraId="4267018C">
      <w:pPr>
        <w:pStyle w:val="69"/>
      </w:pPr>
      <w:bookmarkStart w:id="1673" w:name="_Hlk206123516"/>
      <w:bookmarkStart w:id="1674" w:name="_Hlk166515733"/>
      <w:r>
        <w:t>Учет сведений об оказанной медицинской помощи производится по пациенту, идентифицированному в подсистеме «Федеральный единый регистр застрахованных лиц ГИС ОМС» (далее — ФЕРЗЛ) как застрахованное лицо в системе ОМС или как лицо, имеющее право на оказание медицинской помощи по ОМС.</w:t>
      </w:r>
    </w:p>
    <w:p w14:paraId="777E8573">
      <w:pPr>
        <w:pStyle w:val="69"/>
      </w:pPr>
      <w:r>
        <w:t>Сведения об оказанной медицинской помощи, необходимые для осуществления расчета стоимости МП, сохраняются в ФПУМП в привязке к обезличенному идентификатору пациента (ОИП) и полученным сведениям о пациенте из ФЕРЗЛ.</w:t>
      </w:r>
    </w:p>
    <w:p w14:paraId="3AAAE47B">
      <w:pPr>
        <w:pStyle w:val="69"/>
      </w:pPr>
      <w:r>
        <w:t>Поиск и просмотр СЭФД, включенных в счета на оплату оказанной медицинской помощи, осуществляется в разделе «Реестр СЭФД»</w:t>
      </w:r>
      <w:bookmarkEnd w:id="1673"/>
      <w:r>
        <w:t>.</w:t>
      </w:r>
    </w:p>
    <w:p w14:paraId="76239F50">
      <w:pPr>
        <w:pStyle w:val="69"/>
      </w:pPr>
      <w:r>
        <w:t>Операция доступна сотрудникам ТФОМС с ролями:</w:t>
      </w:r>
    </w:p>
    <w:p w14:paraId="67102536">
      <w:pPr>
        <w:pStyle w:val="76"/>
      </w:pPr>
      <w:r>
        <w:t>Плательщик ТФОМС;</w:t>
      </w:r>
    </w:p>
    <w:p w14:paraId="71708346">
      <w:pPr>
        <w:pStyle w:val="76"/>
      </w:pPr>
      <w:r>
        <w:t>Куратор по СМО;</w:t>
      </w:r>
    </w:p>
    <w:p w14:paraId="3D6482C5">
      <w:pPr>
        <w:pStyle w:val="76"/>
      </w:pPr>
      <w:r>
        <w:t>Куратор по МО.</w:t>
      </w:r>
    </w:p>
    <w:p w14:paraId="490C1E8C">
      <w:pPr>
        <w:pStyle w:val="69"/>
      </w:pPr>
      <w:r>
        <w:t>Для перехода в раздел выбрать в ленте главного меню пункт «Реестр СЭФД».</w:t>
      </w:r>
    </w:p>
    <w:p w14:paraId="20626671">
      <w:pPr>
        <w:pStyle w:val="69"/>
      </w:pPr>
      <w:r>
        <w:t xml:space="preserve">В рабочей области отобразится «Реестр СЭФД», содержащий список сформированных СЭФД (рис. </w:t>
      </w:r>
      <w:r>
        <w:fldChar w:fldCharType="begin"/>
      </w:r>
      <w:r>
        <w:instrText xml:space="preserve"> REF  _Ref147234625 \h\#\0   \* MERGEFORMAT </w:instrText>
      </w:r>
      <w:r>
        <w:fldChar w:fldCharType="separate"/>
      </w:r>
      <w:r>
        <w:t>62</w:t>
      </w:r>
      <w:r>
        <w:fldChar w:fldCharType="end"/>
      </w:r>
      <w:r>
        <w:t>). Текущее состояние отображается в поле «Статус».</w:t>
      </w:r>
    </w:p>
    <w:p w14:paraId="28CD0B22">
      <w:pPr>
        <w:pStyle w:val="73"/>
      </w:pPr>
      <w:r>
        <w:drawing>
          <wp:inline distT="0" distB="0" distL="0" distR="0">
            <wp:extent cx="6119495" cy="3119755"/>
            <wp:effectExtent l="19050" t="19050" r="14605" b="23495"/>
            <wp:docPr id="21023657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65750" name="Рисунок 1"/>
                    <pic:cNvPicPr>
                      <a:picLocks noChangeAspect="1"/>
                    </pic:cNvPicPr>
                  </pic:nvPicPr>
                  <pic:blipFill>
                    <a:blip r:embed="rId89"/>
                    <a:stretch>
                      <a:fillRect/>
                    </a:stretch>
                  </pic:blipFill>
                  <pic:spPr>
                    <a:xfrm>
                      <a:off x="0" y="0"/>
                      <a:ext cx="6119495" cy="3119755"/>
                    </a:xfrm>
                    <a:prstGeom prst="rect">
                      <a:avLst/>
                    </a:prstGeom>
                    <a:ln w="3175" cmpd="sng">
                      <a:solidFill>
                        <a:srgbClr val="000000"/>
                      </a:solidFill>
                    </a:ln>
                  </pic:spPr>
                </pic:pic>
              </a:graphicData>
            </a:graphic>
          </wp:inline>
        </w:drawing>
      </w:r>
    </w:p>
    <w:p w14:paraId="5D30EFB1">
      <w:pPr>
        <w:pStyle w:val="74"/>
      </w:pPr>
      <w:bookmarkStart w:id="1675" w:name="_Ref147234625"/>
      <w:r>
        <w:t xml:space="preserve">Рисунок </w:t>
      </w:r>
      <w:r>
        <w:fldChar w:fldCharType="begin"/>
      </w:r>
      <w:r>
        <w:instrText xml:space="preserve"> SEQ Рисунок \* ARABIC </w:instrText>
      </w:r>
      <w:r>
        <w:fldChar w:fldCharType="separate"/>
      </w:r>
      <w:r>
        <w:t>62</w:t>
      </w:r>
      <w:r>
        <w:fldChar w:fldCharType="end"/>
      </w:r>
      <w:bookmarkEnd w:id="1675"/>
      <w:r>
        <w:t xml:space="preserve"> — Реестр СЭФД</w:t>
      </w:r>
    </w:p>
    <w:p w14:paraId="01699EA5">
      <w:pPr>
        <w:pStyle w:val="60"/>
      </w:pPr>
      <w:bookmarkStart w:id="1676" w:name="_Toc225866337"/>
      <w:bookmarkStart w:id="1677" w:name="_Ref155775812"/>
      <w:bookmarkStart w:id="1678" w:name="_Ref155775822"/>
      <w:r>
        <w:t>Поиск пациента и просмотр сведений о пациенте</w:t>
      </w:r>
      <w:bookmarkEnd w:id="1676"/>
      <w:bookmarkEnd w:id="1677"/>
      <w:bookmarkEnd w:id="1678"/>
    </w:p>
    <w:p w14:paraId="27FE5796">
      <w:pPr>
        <w:pStyle w:val="69"/>
      </w:pPr>
      <w:r>
        <w:t xml:space="preserve">Возможен поиск и </w:t>
      </w:r>
      <w:bookmarkStart w:id="1679" w:name="_Hlk149226428"/>
      <w:r>
        <w:t>просмотр сведений следующих типов пациентов:</w:t>
      </w:r>
    </w:p>
    <w:p w14:paraId="26C8BC51">
      <w:pPr>
        <w:pStyle w:val="76"/>
      </w:pPr>
      <w:r>
        <w:t>застрахованные лица (ЗЛ);</w:t>
      </w:r>
    </w:p>
    <w:p w14:paraId="3628BEF7">
      <w:pPr>
        <w:pStyle w:val="76"/>
      </w:pPr>
      <w:r>
        <w:t>новорожденные (НР);</w:t>
      </w:r>
    </w:p>
    <w:p w14:paraId="04A63E46">
      <w:pPr>
        <w:pStyle w:val="76"/>
      </w:pPr>
      <w:r>
        <w:t>неидентифицированные лица (НИЛ).</w:t>
      </w:r>
    </w:p>
    <w:p w14:paraId="4BF7C136">
      <w:pPr>
        <w:pStyle w:val="69"/>
      </w:pPr>
      <w:bookmarkStart w:id="1680" w:name="_Hlk206123580"/>
      <w:r>
        <w:t xml:space="preserve">Поиск застрахованных лиц возможен как по внешнему идентификатору пациента — номеру полиса, документу, </w:t>
      </w:r>
      <w:bookmarkEnd w:id="1679"/>
      <w:r>
        <w:t>удостоверяющему личность (например: паспорт гражданина РФ, свидетельство о рождении, выданное в Российской Федерации), так и по ОИП (обезличенный идентификатор пациента).</w:t>
      </w:r>
    </w:p>
    <w:p w14:paraId="1785397A">
      <w:pPr>
        <w:pStyle w:val="69"/>
      </w:pPr>
      <w:r>
        <w:t>Новорожденные автоматически регистрируются в ФЕРЗЛ при поступлении СЭМД из ЕГИСЗ. Поиск новорожденных возможен по ИД или номеру документа СЭМД, ОИП либо нечетким параметрам — фамилия, дата рождения/смерти, ОИП неподтвержденного законного представителя, ОИД/код МО.</w:t>
      </w:r>
    </w:p>
    <w:p w14:paraId="634E4FDF">
      <w:pPr>
        <w:pStyle w:val="69"/>
      </w:pPr>
      <w:r>
        <w:t>Поиск НИЛ производится по листу регистрации, выданному при регистрации его медицинской организацией в ФЕРЗЛ. Также поиск можно произвести по ОИП НИЛ либо нечетким параметрам — ФИО, дата поступления, дата смерти, код МО</w:t>
      </w:r>
      <w:bookmarkEnd w:id="1680"/>
      <w:r>
        <w:t>.</w:t>
      </w:r>
    </w:p>
    <w:p w14:paraId="7ABC00F8">
      <w:pPr>
        <w:pStyle w:val="69"/>
      </w:pPr>
      <w:r>
        <w:t xml:space="preserve">Для поиска пациента необходимо в блоке «Фильтр» развернуть блок поиска «По пациентам», нажав кнопку </w:t>
      </w:r>
      <w:r>
        <w:drawing>
          <wp:inline distT="0" distB="0" distL="0" distR="0">
            <wp:extent cx="179705" cy="194945"/>
            <wp:effectExtent l="19050" t="19050" r="10795" b="14605"/>
            <wp:docPr id="1134354501" name="Рисунок 113435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54501" name="Рисунок 113435450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180000" cy="195319"/>
                    </a:xfrm>
                    <a:prstGeom prst="rect">
                      <a:avLst/>
                    </a:prstGeom>
                    <a:noFill/>
                    <a:ln w="3175" cmpd="sng">
                      <a:solidFill>
                        <a:srgbClr val="000000"/>
                      </a:solidFill>
                    </a:ln>
                  </pic:spPr>
                </pic:pic>
              </a:graphicData>
            </a:graphic>
          </wp:inline>
        </w:drawing>
      </w:r>
      <w:r>
        <w:t xml:space="preserve"> «Развернуть» (рис. </w:t>
      </w:r>
      <w:r>
        <w:fldChar w:fldCharType="begin"/>
      </w:r>
      <w:r>
        <w:instrText xml:space="preserve"> REF  _Ref162431561 \h\#\0   \* MERGEFORMAT </w:instrText>
      </w:r>
      <w:r>
        <w:fldChar w:fldCharType="separate"/>
      </w:r>
      <w:r>
        <w:t>63</w:t>
      </w:r>
      <w:r>
        <w:fldChar w:fldCharType="end"/>
      </w:r>
      <w:r>
        <w:t>).</w:t>
      </w:r>
    </w:p>
    <w:p w14:paraId="197E12EC">
      <w:pPr>
        <w:pStyle w:val="73"/>
      </w:pPr>
      <w:r>
        <w:drawing>
          <wp:inline distT="0" distB="0" distL="0" distR="0">
            <wp:extent cx="1799590" cy="614045"/>
            <wp:effectExtent l="19050" t="19050" r="10160" b="14605"/>
            <wp:docPr id="841249186" name="Рисунок 841249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249186" name="Рисунок 84124918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1800000" cy="614555"/>
                    </a:xfrm>
                    <a:prstGeom prst="rect">
                      <a:avLst/>
                    </a:prstGeom>
                    <a:noFill/>
                    <a:ln w="3175" cmpd="sng">
                      <a:solidFill>
                        <a:srgbClr val="000000"/>
                      </a:solidFill>
                    </a:ln>
                  </pic:spPr>
                </pic:pic>
              </a:graphicData>
            </a:graphic>
          </wp:inline>
        </w:drawing>
      </w:r>
    </w:p>
    <w:p w14:paraId="14A89FB5">
      <w:pPr>
        <w:pStyle w:val="74"/>
      </w:pPr>
      <w:bookmarkStart w:id="1681" w:name="_Ref162431561"/>
      <w:r>
        <w:t xml:space="preserve">Рисунок </w:t>
      </w:r>
      <w:r>
        <w:fldChar w:fldCharType="begin"/>
      </w:r>
      <w:r>
        <w:instrText xml:space="preserve"> SEQ Рисунок \* ARABIC </w:instrText>
      </w:r>
      <w:r>
        <w:fldChar w:fldCharType="separate"/>
      </w:r>
      <w:r>
        <w:t>63</w:t>
      </w:r>
      <w:r>
        <w:fldChar w:fldCharType="end"/>
      </w:r>
      <w:bookmarkEnd w:id="1681"/>
      <w:r>
        <w:t xml:space="preserve"> — Раскрытие блока поиска «По пациентам»</w:t>
      </w:r>
    </w:p>
    <w:p w14:paraId="2403B088">
      <w:pPr>
        <w:pStyle w:val="69"/>
      </w:pPr>
      <w:bookmarkStart w:id="1682" w:name="_Hlk149226533"/>
      <w:r>
        <w:t xml:space="preserve">Выбрать тип пациента, указать один из параметров поиска в зависимости от типа и нажать кнопку «Найти» (рис. </w:t>
      </w:r>
      <w:r>
        <w:fldChar w:fldCharType="begin"/>
      </w:r>
      <w:r>
        <w:instrText xml:space="preserve"> REF  _Ref162432966 \h\#\0   \* MERGEFORMAT </w:instrText>
      </w:r>
      <w:r>
        <w:fldChar w:fldCharType="separate"/>
      </w:r>
      <w:r>
        <w:t>64</w:t>
      </w:r>
      <w:r>
        <w:fldChar w:fldCharType="end"/>
      </w:r>
      <w:r>
        <w:t>).</w:t>
      </w:r>
    </w:p>
    <w:p w14:paraId="3C9819B6">
      <w:pPr>
        <w:pStyle w:val="73"/>
      </w:pPr>
      <w:r>
        <w:drawing>
          <wp:inline distT="0" distB="0" distL="0" distR="0">
            <wp:extent cx="2159635" cy="5114290"/>
            <wp:effectExtent l="19050" t="19050" r="12065" b="10160"/>
            <wp:docPr id="34875184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751844" name="Рисунок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160000" cy="5114409"/>
                    </a:xfrm>
                    <a:prstGeom prst="rect">
                      <a:avLst/>
                    </a:prstGeom>
                    <a:noFill/>
                    <a:ln w="3175" cmpd="sng">
                      <a:solidFill>
                        <a:srgbClr val="000000"/>
                      </a:solidFill>
                    </a:ln>
                  </pic:spPr>
                </pic:pic>
              </a:graphicData>
            </a:graphic>
          </wp:inline>
        </w:drawing>
      </w:r>
    </w:p>
    <w:p w14:paraId="321F3FD2">
      <w:pPr>
        <w:pStyle w:val="74"/>
      </w:pPr>
      <w:bookmarkStart w:id="1683" w:name="_Ref162432966"/>
      <w:r>
        <w:t xml:space="preserve">Рисунок </w:t>
      </w:r>
      <w:r>
        <w:fldChar w:fldCharType="begin"/>
      </w:r>
      <w:r>
        <w:instrText xml:space="preserve"> SEQ Рисунок \* ARABIC </w:instrText>
      </w:r>
      <w:r>
        <w:fldChar w:fldCharType="separate"/>
      </w:r>
      <w:r>
        <w:t>64</w:t>
      </w:r>
      <w:r>
        <w:fldChar w:fldCharType="end"/>
      </w:r>
      <w:bookmarkEnd w:id="1683"/>
      <w:r>
        <w:t xml:space="preserve"> — Поиск ЗЛ для идентификации пациента по данным ФЕРЗЛ</w:t>
      </w:r>
    </w:p>
    <w:p w14:paraId="73E039EC">
      <w:pPr>
        <w:pStyle w:val="69"/>
      </w:pPr>
      <w:r>
        <w:t>Результаты поиска отобразятся в блоке «Результаты» (рис. </w:t>
      </w:r>
      <w:r>
        <w:fldChar w:fldCharType="begin"/>
      </w:r>
      <w:r>
        <w:instrText xml:space="preserve"> REF  _Ref162433038 \h\#\0   \* MERGEFORMAT </w:instrText>
      </w:r>
      <w:r>
        <w:fldChar w:fldCharType="separate"/>
      </w:r>
      <w:r>
        <w:t>65</w:t>
      </w:r>
      <w:r>
        <w:fldChar w:fldCharType="end"/>
      </w:r>
      <w:r>
        <w:t>) панели фильтрации и</w:t>
      </w:r>
      <w:r>
        <w:rPr>
          <w:lang w:val="en-US"/>
        </w:rPr>
        <w:t> </w:t>
      </w:r>
      <w:r>
        <w:t>поиска.</w:t>
      </w:r>
    </w:p>
    <w:p w14:paraId="7C1AFC61">
      <w:pPr>
        <w:pStyle w:val="73"/>
        <w:rPr>
          <w:lang w:val="en-US"/>
        </w:rPr>
      </w:pPr>
      <w:r>
        <w:drawing>
          <wp:inline distT="0" distB="0" distL="0" distR="0">
            <wp:extent cx="1799590" cy="1276985"/>
            <wp:effectExtent l="19050" t="19050" r="10160" b="18415"/>
            <wp:docPr id="11524881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488140" name="Рисунок 1"/>
                    <pic:cNvPicPr>
                      <a:picLocks noChangeAspect="1"/>
                    </pic:cNvPicPr>
                  </pic:nvPicPr>
                  <pic:blipFill>
                    <a:blip r:embed="rId93"/>
                    <a:stretch>
                      <a:fillRect/>
                    </a:stretch>
                  </pic:blipFill>
                  <pic:spPr>
                    <a:xfrm>
                      <a:off x="0" y="0"/>
                      <a:ext cx="1800000" cy="1277535"/>
                    </a:xfrm>
                    <a:prstGeom prst="rect">
                      <a:avLst/>
                    </a:prstGeom>
                    <a:ln w="3175" cmpd="sng">
                      <a:solidFill>
                        <a:srgbClr val="000000"/>
                      </a:solidFill>
                    </a:ln>
                  </pic:spPr>
                </pic:pic>
              </a:graphicData>
            </a:graphic>
          </wp:inline>
        </w:drawing>
      </w:r>
    </w:p>
    <w:p w14:paraId="325119F0">
      <w:pPr>
        <w:pStyle w:val="74"/>
      </w:pPr>
      <w:bookmarkStart w:id="1684" w:name="_Ref162433038"/>
      <w:r>
        <w:t xml:space="preserve">Рисунок </w:t>
      </w:r>
      <w:r>
        <w:fldChar w:fldCharType="begin"/>
      </w:r>
      <w:r>
        <w:instrText xml:space="preserve"> SEQ Рисунок \* ARABIC </w:instrText>
      </w:r>
      <w:r>
        <w:fldChar w:fldCharType="separate"/>
      </w:r>
      <w:r>
        <w:t>65</w:t>
      </w:r>
      <w:r>
        <w:fldChar w:fldCharType="end"/>
      </w:r>
      <w:bookmarkEnd w:id="1684"/>
      <w:r>
        <w:t xml:space="preserve"> — Блок «По пациентам». Результаты поиска</w:t>
      </w:r>
    </w:p>
    <w:p w14:paraId="6C5CDA09">
      <w:pPr>
        <w:pStyle w:val="69"/>
      </w:pPr>
      <w:r>
        <w:t>В результатах поиска отображаются краткие сведения о пациенте:</w:t>
      </w:r>
    </w:p>
    <w:p w14:paraId="412580E8">
      <w:pPr>
        <w:pStyle w:val="76"/>
        <w:rPr>
          <w:lang w:eastAsia="en-US"/>
        </w:rPr>
      </w:pPr>
      <w:r>
        <w:rPr>
          <w:lang w:eastAsia="en-US"/>
        </w:rPr>
        <w:t>фамилия, имя, отчество пациента;</w:t>
      </w:r>
    </w:p>
    <w:p w14:paraId="56CF2503">
      <w:pPr>
        <w:pStyle w:val="76"/>
        <w:rPr>
          <w:lang w:eastAsia="en-US"/>
        </w:rPr>
      </w:pPr>
      <w:r>
        <w:rPr>
          <w:lang w:eastAsia="en-US"/>
        </w:rPr>
        <w:t>ОИП и пол пациента;</w:t>
      </w:r>
    </w:p>
    <w:p w14:paraId="63CBD109">
      <w:pPr>
        <w:pStyle w:val="76"/>
        <w:rPr>
          <w:lang w:eastAsia="en-US"/>
        </w:rPr>
      </w:pPr>
      <w:r>
        <w:rPr>
          <w:lang w:eastAsia="en-US"/>
        </w:rPr>
        <w:t>дата рождения.</w:t>
      </w:r>
    </w:p>
    <w:p w14:paraId="1D1F2428">
      <w:pPr>
        <w:pStyle w:val="69"/>
      </w:pPr>
      <w:r>
        <w:t xml:space="preserve">При нажатии «Подробнее» раскроются расширенные сведения о пациенте (рис. </w:t>
      </w:r>
      <w:r>
        <w:fldChar w:fldCharType="begin"/>
      </w:r>
      <w:r>
        <w:instrText xml:space="preserve"> REF  _Ref162433127 \h\#\0   \* MERGEFORMAT </w:instrText>
      </w:r>
      <w:r>
        <w:fldChar w:fldCharType="separate"/>
      </w:r>
      <w:r>
        <w:t>66</w:t>
      </w:r>
      <w:r>
        <w:fldChar w:fldCharType="end"/>
      </w:r>
      <w:r>
        <w:t>), доступные для просмотра: номер и даты действия полиса, сведения о гражданстве и прикреплении.</w:t>
      </w:r>
    </w:p>
    <w:p w14:paraId="4EBADCDC">
      <w:pPr>
        <w:pStyle w:val="73"/>
      </w:pPr>
      <w:r>
        <w:drawing>
          <wp:inline distT="0" distB="0" distL="0" distR="0">
            <wp:extent cx="2159635" cy="5659120"/>
            <wp:effectExtent l="19050" t="19050" r="12065" b="17780"/>
            <wp:docPr id="17040140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14006" name="Рисунок 1"/>
                    <pic:cNvPicPr>
                      <a:picLocks noChangeAspect="1"/>
                    </pic:cNvPicPr>
                  </pic:nvPicPr>
                  <pic:blipFill>
                    <a:blip r:embed="rId94"/>
                    <a:stretch>
                      <a:fillRect/>
                    </a:stretch>
                  </pic:blipFill>
                  <pic:spPr>
                    <a:xfrm>
                      <a:off x="0" y="0"/>
                      <a:ext cx="2160000" cy="5659746"/>
                    </a:xfrm>
                    <a:prstGeom prst="rect">
                      <a:avLst/>
                    </a:prstGeom>
                    <a:ln w="3175" cmpd="sng">
                      <a:solidFill>
                        <a:srgbClr val="000000"/>
                      </a:solidFill>
                    </a:ln>
                  </pic:spPr>
                </pic:pic>
              </a:graphicData>
            </a:graphic>
          </wp:inline>
        </w:drawing>
      </w:r>
    </w:p>
    <w:p w14:paraId="71B7C4F4">
      <w:pPr>
        <w:pStyle w:val="74"/>
      </w:pPr>
      <w:bookmarkStart w:id="1685" w:name="_Ref162433127"/>
      <w:r>
        <w:t xml:space="preserve">Рисунок </w:t>
      </w:r>
      <w:r>
        <w:fldChar w:fldCharType="begin"/>
      </w:r>
      <w:r>
        <w:instrText xml:space="preserve"> SEQ Рисунок \* ARABIC </w:instrText>
      </w:r>
      <w:r>
        <w:fldChar w:fldCharType="separate"/>
      </w:r>
      <w:r>
        <w:t>66</w:t>
      </w:r>
      <w:r>
        <w:fldChar w:fldCharType="end"/>
      </w:r>
      <w:bookmarkEnd w:id="1685"/>
      <w:r>
        <w:t xml:space="preserve"> — Блок «По пациентам». Расширенные сведения о пациенте</w:t>
      </w:r>
    </w:p>
    <w:p w14:paraId="320BA719">
      <w:pPr>
        <w:pStyle w:val="69"/>
      </w:pPr>
      <w:r>
        <w:t xml:space="preserve">Чтобы свернуть блок поиска «По пациентам» и вернуться в панель фильтрации нажать кнопку </w:t>
      </w:r>
      <w:r>
        <w:drawing>
          <wp:inline distT="0" distB="0" distL="0" distR="0">
            <wp:extent cx="179705" cy="171450"/>
            <wp:effectExtent l="19050" t="19050" r="10795" b="19050"/>
            <wp:docPr id="979096406" name="Рисунок 97909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096406" name="Рисунок 97909640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80000" cy="171619"/>
                    </a:xfrm>
                    <a:prstGeom prst="rect">
                      <a:avLst/>
                    </a:prstGeom>
                    <a:noFill/>
                    <a:ln w="3175" cmpd="sng">
                      <a:solidFill>
                        <a:srgbClr val="000000"/>
                      </a:solidFill>
                    </a:ln>
                  </pic:spPr>
                </pic:pic>
              </a:graphicData>
            </a:graphic>
          </wp:inline>
        </w:drawing>
      </w:r>
      <w:r>
        <w:t xml:space="preserve"> «Свернуть» слева от наименования блока (рис. </w:t>
      </w:r>
      <w:r>
        <w:fldChar w:fldCharType="begin"/>
      </w:r>
      <w:r>
        <w:instrText xml:space="preserve"> REF  _Ref162433225 \h\#\0   \* MERGEFORMAT </w:instrText>
      </w:r>
      <w:r>
        <w:fldChar w:fldCharType="separate"/>
      </w:r>
      <w:r>
        <w:t>67</w:t>
      </w:r>
      <w:r>
        <w:fldChar w:fldCharType="end"/>
      </w:r>
      <w:r>
        <w:t>).</w:t>
      </w:r>
    </w:p>
    <w:p w14:paraId="041637A3">
      <w:pPr>
        <w:pStyle w:val="73"/>
      </w:pPr>
      <w:r>
        <w:drawing>
          <wp:inline distT="0" distB="0" distL="0" distR="0">
            <wp:extent cx="1799590" cy="1133475"/>
            <wp:effectExtent l="19050" t="19050" r="10160" b="28575"/>
            <wp:docPr id="1810296170" name="Рисунок 1810296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96170" name="Рисунок 1810296170"/>
                    <pic:cNvPicPr>
                      <a:picLocks noChangeAspect="1"/>
                    </pic:cNvPicPr>
                  </pic:nvPicPr>
                  <pic:blipFill>
                    <a:blip r:embed="rId96"/>
                    <a:stretch>
                      <a:fillRect/>
                    </a:stretch>
                  </pic:blipFill>
                  <pic:spPr>
                    <a:xfrm>
                      <a:off x="0" y="0"/>
                      <a:ext cx="1800000" cy="1134104"/>
                    </a:xfrm>
                    <a:prstGeom prst="rect">
                      <a:avLst/>
                    </a:prstGeom>
                    <a:ln w="3175" cmpd="sng">
                      <a:solidFill>
                        <a:srgbClr val="000000"/>
                      </a:solidFill>
                    </a:ln>
                  </pic:spPr>
                </pic:pic>
              </a:graphicData>
            </a:graphic>
          </wp:inline>
        </w:drawing>
      </w:r>
    </w:p>
    <w:p w14:paraId="46B45FA4">
      <w:pPr>
        <w:pStyle w:val="74"/>
      </w:pPr>
      <w:bookmarkStart w:id="1686" w:name="_Ref162433225"/>
      <w:r>
        <w:t xml:space="preserve">Рисунок </w:t>
      </w:r>
      <w:r>
        <w:rPr>
          <w:iCs w:val="0"/>
        </w:rPr>
        <w:fldChar w:fldCharType="begin"/>
      </w:r>
      <w:r>
        <w:instrText xml:space="preserve"> SEQ Рисунок \* ARABIC </w:instrText>
      </w:r>
      <w:r>
        <w:rPr>
          <w:iCs w:val="0"/>
        </w:rPr>
        <w:fldChar w:fldCharType="separate"/>
      </w:r>
      <w:r>
        <w:t>67</w:t>
      </w:r>
      <w:r>
        <w:rPr>
          <w:iCs w:val="0"/>
        </w:rPr>
        <w:fldChar w:fldCharType="end"/>
      </w:r>
      <w:bookmarkEnd w:id="1686"/>
      <w:r>
        <w:t xml:space="preserve"> — Выход из поиска по пациентам</w:t>
      </w:r>
      <w:bookmarkEnd w:id="1682"/>
    </w:p>
    <w:p w14:paraId="10C5F19F">
      <w:pPr>
        <w:pStyle w:val="60"/>
      </w:pPr>
      <w:bookmarkStart w:id="1687" w:name="_Toc149209638"/>
      <w:bookmarkStart w:id="1688" w:name="_Ref149209742"/>
      <w:bookmarkStart w:id="1689" w:name="_Ref163042186"/>
      <w:bookmarkStart w:id="1690" w:name="_Toc225866338"/>
      <w:r>
        <w:t>Поиск и просмотр СЭФД</w:t>
      </w:r>
      <w:bookmarkEnd w:id="1687"/>
      <w:bookmarkEnd w:id="1688"/>
      <w:bookmarkEnd w:id="1689"/>
      <w:bookmarkEnd w:id="1690"/>
    </w:p>
    <w:p w14:paraId="0294F683">
      <w:pPr>
        <w:pStyle w:val="69"/>
      </w:pPr>
      <w:r>
        <w:t xml:space="preserve">Все созданные СЭФД отображаются в «Реестре СЭФД» (рис. </w:t>
      </w:r>
      <w:r>
        <w:fldChar w:fldCharType="begin"/>
      </w:r>
      <w:r>
        <w:instrText xml:space="preserve"> REF  _Ref166667811 \h\#\0   \* MERGEFORMAT </w:instrText>
      </w:r>
      <w:r>
        <w:fldChar w:fldCharType="separate"/>
      </w:r>
      <w:r>
        <w:t>68</w:t>
      </w:r>
      <w:r>
        <w:fldChar w:fldCharType="end"/>
      </w:r>
      <w:r>
        <w:t>). Текущее состояние документа отображается в поле «Статус».</w:t>
      </w:r>
    </w:p>
    <w:p w14:paraId="27C1B95D">
      <w:pPr>
        <w:pStyle w:val="73"/>
      </w:pPr>
      <w:r>
        <w:drawing>
          <wp:inline distT="0" distB="0" distL="0" distR="0">
            <wp:extent cx="6119495" cy="2998470"/>
            <wp:effectExtent l="19050" t="19050" r="14605" b="11430"/>
            <wp:docPr id="18533704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370471" name="Рисунок 1"/>
                    <pic:cNvPicPr>
                      <a:picLocks noChangeAspect="1"/>
                    </pic:cNvPicPr>
                  </pic:nvPicPr>
                  <pic:blipFill>
                    <a:blip r:embed="rId97"/>
                    <a:stretch>
                      <a:fillRect/>
                    </a:stretch>
                  </pic:blipFill>
                  <pic:spPr>
                    <a:xfrm>
                      <a:off x="0" y="0"/>
                      <a:ext cx="6119495" cy="2998470"/>
                    </a:xfrm>
                    <a:prstGeom prst="rect">
                      <a:avLst/>
                    </a:prstGeom>
                    <a:ln w="3175" cmpd="sng">
                      <a:solidFill>
                        <a:srgbClr val="000000"/>
                      </a:solidFill>
                    </a:ln>
                  </pic:spPr>
                </pic:pic>
              </a:graphicData>
            </a:graphic>
          </wp:inline>
        </w:drawing>
      </w:r>
    </w:p>
    <w:p w14:paraId="4DF0D9FC">
      <w:pPr>
        <w:pStyle w:val="74"/>
      </w:pPr>
      <w:bookmarkStart w:id="1691" w:name="_Ref166667811"/>
      <w:r>
        <w:t xml:space="preserve">Рисунок </w:t>
      </w:r>
      <w:r>
        <w:fldChar w:fldCharType="begin"/>
      </w:r>
      <w:r>
        <w:instrText xml:space="preserve"> SEQ Рисунок \* ARABIC </w:instrText>
      </w:r>
      <w:r>
        <w:fldChar w:fldCharType="separate"/>
      </w:r>
      <w:r>
        <w:t>68</w:t>
      </w:r>
      <w:r>
        <w:fldChar w:fldCharType="end"/>
      </w:r>
      <w:bookmarkEnd w:id="1691"/>
      <w:r>
        <w:t xml:space="preserve"> — Реестр СЭФД</w:t>
      </w:r>
    </w:p>
    <w:p w14:paraId="10B29478">
      <w:pPr>
        <w:pStyle w:val="69"/>
      </w:pPr>
      <w:r>
        <w:t>Табличная форма включает следующие столбцы:</w:t>
      </w:r>
    </w:p>
    <w:p w14:paraId="2DF67FCF">
      <w:pPr>
        <w:pStyle w:val="76"/>
      </w:pPr>
      <w:r>
        <w:t>«№ пп» — порядковый номер записи;</w:t>
      </w:r>
    </w:p>
    <w:p w14:paraId="3E9A57BA">
      <w:pPr>
        <w:pStyle w:val="76"/>
      </w:pPr>
      <w:r>
        <w:t>«</w:t>
      </w:r>
      <w:r>
        <w:rPr>
          <w:lang w:val="en-US"/>
        </w:rPr>
        <w:t>ID</w:t>
      </w:r>
      <w:r>
        <w:t>» — идентификатор документа в ФПУМП;</w:t>
      </w:r>
    </w:p>
    <w:p w14:paraId="42245FB9">
      <w:pPr>
        <w:pStyle w:val="76"/>
      </w:pPr>
      <w:r>
        <w:t>«</w:t>
      </w:r>
      <w:r>
        <w:rPr>
          <w:lang w:val="en-US"/>
        </w:rPr>
        <w:t>OIP</w:t>
      </w:r>
      <w:r>
        <w:t>» — обезличенный идентификатор пациента;</w:t>
      </w:r>
    </w:p>
    <w:p w14:paraId="08791E4B">
      <w:pPr>
        <w:pStyle w:val="76"/>
      </w:pPr>
      <w:r>
        <w:t>«Лист регистрации»;</w:t>
      </w:r>
    </w:p>
    <w:p w14:paraId="298BCDCF">
      <w:pPr>
        <w:pStyle w:val="76"/>
      </w:pPr>
      <w:r>
        <w:t>«Дата завершения законченного случая»</w:t>
      </w:r>
      <w:r>
        <w:rPr>
          <w:lang w:val="en-US"/>
        </w:rPr>
        <w:t>;</w:t>
      </w:r>
    </w:p>
    <w:p w14:paraId="73633844">
      <w:pPr>
        <w:pStyle w:val="76"/>
      </w:pPr>
      <w:r>
        <w:t>«Статус» — текущее состояние СЭФД (при наведении указателя на значение приводится расшифровка);</w:t>
      </w:r>
    </w:p>
    <w:p w14:paraId="40728024">
      <w:pPr>
        <w:pStyle w:val="76"/>
      </w:pPr>
      <w:r>
        <w:t>«Тип документа» — АМБ, СМП, СТЦ;</w:t>
      </w:r>
    </w:p>
    <w:p w14:paraId="03AAAD3D">
      <w:pPr>
        <w:pStyle w:val="76"/>
      </w:pPr>
      <w:r>
        <w:t>«ТФОМС» — наименование ТФОМС субъекта РФ;</w:t>
      </w:r>
    </w:p>
    <w:p w14:paraId="45C4AD90">
      <w:pPr>
        <w:pStyle w:val="76"/>
      </w:pPr>
      <w:r>
        <w:t>«Код субъекта МО» — код и наименование субъекта РФ;</w:t>
      </w:r>
    </w:p>
    <w:p w14:paraId="25435431">
      <w:pPr>
        <w:pStyle w:val="76"/>
      </w:pPr>
      <w:r>
        <w:t>«Филиал» — код филиала МО по справочнику ФРМО;</w:t>
      </w:r>
    </w:p>
    <w:p w14:paraId="23019E57">
      <w:pPr>
        <w:pStyle w:val="76"/>
      </w:pPr>
      <w:r>
        <w:t>«Номер бригады» — номер бригады СМП, доставившей пациента;</w:t>
      </w:r>
    </w:p>
    <w:p w14:paraId="10242E79">
      <w:pPr>
        <w:pStyle w:val="76"/>
      </w:pPr>
      <w:r>
        <w:t>«Профиль мониторинга» — профиль мониторинга для контроля объемов и сумм оказанной МП (при наведении указателя приводится детальная информация);</w:t>
      </w:r>
    </w:p>
    <w:p w14:paraId="57179AA4">
      <w:pPr>
        <w:pStyle w:val="76"/>
      </w:pPr>
      <w:r>
        <w:t>«Отделение» — код и наименование отделения в ФРМО;</w:t>
      </w:r>
    </w:p>
    <w:p w14:paraId="3F9478BE">
      <w:pPr>
        <w:pStyle w:val="76"/>
      </w:pPr>
      <w:r>
        <w:t>«Пациент» — ФИО пациента;</w:t>
      </w:r>
    </w:p>
    <w:p w14:paraId="3DE8F1D5">
      <w:pPr>
        <w:pStyle w:val="76"/>
      </w:pPr>
      <w:r>
        <w:t>«Диагноз» — код основного диагноза;</w:t>
      </w:r>
    </w:p>
    <w:p w14:paraId="2C9245EE">
      <w:pPr>
        <w:pStyle w:val="76"/>
      </w:pPr>
      <w:r>
        <w:t>«КСГ»</w:t>
      </w:r>
      <w:r>
        <w:rPr>
          <w:lang w:val="en-US"/>
        </w:rPr>
        <w:t xml:space="preserve"> — </w:t>
      </w:r>
      <w:r>
        <w:t>код группы КСГ;</w:t>
      </w:r>
    </w:p>
    <w:p w14:paraId="0291953B">
      <w:pPr>
        <w:pStyle w:val="76"/>
      </w:pPr>
      <w:r>
        <w:t>«ВМП» — код группы ВМП</w:t>
      </w:r>
      <w:r>
        <w:rPr>
          <w:lang w:val="en-US"/>
        </w:rPr>
        <w:t>;</w:t>
      </w:r>
    </w:p>
    <w:p w14:paraId="26169CC7">
      <w:pPr>
        <w:pStyle w:val="76"/>
      </w:pPr>
      <w:r>
        <w:t>«Услуги» — перечень оказанных пациенту услуг по справочнику НМУ (1.2.643.5.1.13.13.11.1070);</w:t>
      </w:r>
    </w:p>
    <w:p w14:paraId="4C893571">
      <w:pPr>
        <w:pStyle w:val="76"/>
      </w:pPr>
      <w:r>
        <w:t>«Врач» — сведения об основном медицинском работнике по данным ФРМР;</w:t>
      </w:r>
    </w:p>
    <w:p w14:paraId="46D414E7">
      <w:pPr>
        <w:pStyle w:val="76"/>
      </w:pPr>
      <w:r>
        <w:t>«Медсестра/Второй специалист»;</w:t>
      </w:r>
    </w:p>
    <w:p w14:paraId="5132CE7D">
      <w:pPr>
        <w:pStyle w:val="76"/>
      </w:pPr>
      <w:r>
        <w:t>«Наименование МО» — наименование МО/головной МО;</w:t>
      </w:r>
    </w:p>
    <w:p w14:paraId="252872D2">
      <w:pPr>
        <w:pStyle w:val="76"/>
      </w:pPr>
      <w:r>
        <w:t>«МО в ОМС» — код МО по справочнику F032 «Реестр медицинских организаций, осуществляющих деятельность в сфере обязательного медицинского страхования (TRMO)»;</w:t>
      </w:r>
    </w:p>
    <w:p w14:paraId="1BC99ADD">
      <w:pPr>
        <w:pStyle w:val="76"/>
      </w:pPr>
      <w:r>
        <w:t>«</w:t>
      </w:r>
      <w:r>
        <w:rPr>
          <w:lang w:val="en-US"/>
        </w:rPr>
        <w:t>OID</w:t>
      </w:r>
      <w:r>
        <w:t xml:space="preserve"> МО» — код МО в ФРМО;</w:t>
      </w:r>
    </w:p>
    <w:p w14:paraId="2046C915">
      <w:pPr>
        <w:pStyle w:val="76"/>
      </w:pPr>
      <w:r>
        <w:t>«Медкарта/История болезни»;</w:t>
      </w:r>
    </w:p>
    <w:p w14:paraId="569CF854">
      <w:pPr>
        <w:pStyle w:val="76"/>
      </w:pPr>
      <w:r>
        <w:t>«Источник оплаты» — по справочнику Источники оплаты медицинской помощи (1.2.643.5.1.13.13.11.1039);</w:t>
      </w:r>
    </w:p>
    <w:p w14:paraId="5EEF9637">
      <w:pPr>
        <w:pStyle w:val="76"/>
      </w:pPr>
      <w:r>
        <w:t>«Сумма, руб» — заявленная сумма по документу;</w:t>
      </w:r>
    </w:p>
    <w:p w14:paraId="2862A4CF">
      <w:pPr>
        <w:pStyle w:val="76"/>
      </w:pPr>
      <w:r>
        <w:t>«ФЛК документа»;</w:t>
      </w:r>
    </w:p>
    <w:p w14:paraId="6B595118">
      <w:pPr>
        <w:pStyle w:val="76"/>
      </w:pPr>
      <w:r>
        <w:t>«Причина перерасчета» — заполняется при перерасчете СЭФД.</w:t>
      </w:r>
    </w:p>
    <w:p w14:paraId="63AF3AF0">
      <w:pPr>
        <w:pStyle w:val="69"/>
      </w:pPr>
      <w:r>
        <w:t>Для поиска СЭФД необходимо в панели фильтрации задать параметры поиска в</w:t>
      </w:r>
      <w:r>
        <w:rPr>
          <w:lang w:val="en-US"/>
        </w:rPr>
        <w:t> </w:t>
      </w:r>
      <w:r>
        <w:t xml:space="preserve">блоке «Фильтр» (рис. </w:t>
      </w:r>
      <w:r>
        <w:fldChar w:fldCharType="begin"/>
      </w:r>
      <w:r>
        <w:instrText xml:space="preserve"> REF  _Ref166667827 \h\#\0   \* MERGEFORMAT </w:instrText>
      </w:r>
      <w:r>
        <w:fldChar w:fldCharType="separate"/>
      </w:r>
      <w:r>
        <w:t>69</w:t>
      </w:r>
      <w:r>
        <w:fldChar w:fldCharType="end"/>
      </w:r>
      <w:r>
        <w:t>). Поиск возможен как по одному, так и по нескольким параметрам одновременно.</w:t>
      </w:r>
    </w:p>
    <w:p w14:paraId="5474FC20">
      <w:pPr>
        <w:pStyle w:val="73"/>
      </w:pPr>
      <w:r>
        <w:drawing>
          <wp:inline distT="0" distB="0" distL="0" distR="0">
            <wp:extent cx="1799590" cy="4820920"/>
            <wp:effectExtent l="19050" t="19050" r="10160" b="17780"/>
            <wp:docPr id="28109246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092468" name="Рисунок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1800000" cy="4821428"/>
                    </a:xfrm>
                    <a:prstGeom prst="rect">
                      <a:avLst/>
                    </a:prstGeom>
                    <a:noFill/>
                    <a:ln w="3175" cmpd="sng">
                      <a:solidFill>
                        <a:srgbClr val="000000"/>
                      </a:solidFill>
                    </a:ln>
                  </pic:spPr>
                </pic:pic>
              </a:graphicData>
            </a:graphic>
          </wp:inline>
        </w:drawing>
      </w:r>
    </w:p>
    <w:p w14:paraId="26F949E4">
      <w:pPr>
        <w:pStyle w:val="74"/>
      </w:pPr>
      <w:bookmarkStart w:id="1692" w:name="_Ref166667827"/>
      <w:r>
        <w:t xml:space="preserve">Рисунок </w:t>
      </w:r>
      <w:r>
        <w:fldChar w:fldCharType="begin"/>
      </w:r>
      <w:r>
        <w:instrText xml:space="preserve"> SEQ Рисунок \* ARABIC </w:instrText>
      </w:r>
      <w:r>
        <w:fldChar w:fldCharType="separate"/>
      </w:r>
      <w:r>
        <w:t>69</w:t>
      </w:r>
      <w:r>
        <w:fldChar w:fldCharType="end"/>
      </w:r>
      <w:bookmarkEnd w:id="1692"/>
      <w:r>
        <w:t xml:space="preserve"> — Реестр СЭФД. Разделы поиска блока «Фильтр»</w:t>
      </w:r>
    </w:p>
    <w:p w14:paraId="0D629C7C">
      <w:pPr>
        <w:pStyle w:val="69"/>
      </w:pPr>
      <w:r>
        <w:t>После нажатия кнопки «Найти» в рабочей области «Реестр СЭФД» (рис.</w:t>
      </w:r>
      <w:r>
        <w:rPr>
          <w:lang w:val="en-US"/>
        </w:rPr>
        <w:t> </w:t>
      </w:r>
      <w:r>
        <w:fldChar w:fldCharType="begin"/>
      </w:r>
      <w:r>
        <w:instrText xml:space="preserve"> REF  _Ref133510379 \h\#\0   \* MERGEFORMAT </w:instrText>
      </w:r>
      <w:r>
        <w:fldChar w:fldCharType="separate"/>
      </w:r>
      <w:r>
        <w:t>70</w:t>
      </w:r>
      <w:r>
        <w:fldChar w:fldCharType="end"/>
      </w:r>
      <w:r>
        <w:t>) отобразится список документов, соответствующих поисковому запросу. В поле «Найдено» отображается количество документов, соответствующих поисковому запросу.</w:t>
      </w:r>
    </w:p>
    <w:p w14:paraId="491C0CF6">
      <w:pPr>
        <w:pStyle w:val="73"/>
      </w:pPr>
      <w:r>
        <w:drawing>
          <wp:inline distT="0" distB="0" distL="0" distR="0">
            <wp:extent cx="6119495" cy="2998470"/>
            <wp:effectExtent l="19050" t="19050" r="14605" b="11430"/>
            <wp:docPr id="9474826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482658" name="Рисунок 1"/>
                    <pic:cNvPicPr>
                      <a:picLocks noChangeAspect="1"/>
                    </pic:cNvPicPr>
                  </pic:nvPicPr>
                  <pic:blipFill>
                    <a:blip r:embed="rId97"/>
                    <a:stretch>
                      <a:fillRect/>
                    </a:stretch>
                  </pic:blipFill>
                  <pic:spPr>
                    <a:xfrm>
                      <a:off x="0" y="0"/>
                      <a:ext cx="6119495" cy="2998470"/>
                    </a:xfrm>
                    <a:prstGeom prst="rect">
                      <a:avLst/>
                    </a:prstGeom>
                    <a:ln w="3175" cmpd="sng">
                      <a:solidFill>
                        <a:srgbClr val="000000"/>
                      </a:solidFill>
                    </a:ln>
                  </pic:spPr>
                </pic:pic>
              </a:graphicData>
            </a:graphic>
          </wp:inline>
        </w:drawing>
      </w:r>
    </w:p>
    <w:p w14:paraId="50C607D2">
      <w:pPr>
        <w:pStyle w:val="74"/>
      </w:pPr>
      <w:bookmarkStart w:id="1693" w:name="_Ref133510379"/>
      <w:r>
        <w:t xml:space="preserve">Рисунок </w:t>
      </w:r>
      <w:r>
        <w:fldChar w:fldCharType="begin"/>
      </w:r>
      <w:r>
        <w:instrText xml:space="preserve"> SEQ Рисунок \* ARABIC </w:instrText>
      </w:r>
      <w:r>
        <w:fldChar w:fldCharType="separate"/>
      </w:r>
      <w:r>
        <w:t>70</w:t>
      </w:r>
      <w:r>
        <w:fldChar w:fldCharType="end"/>
      </w:r>
      <w:bookmarkEnd w:id="1693"/>
      <w:r>
        <w:t xml:space="preserve"> — Реестр СЭФД. Результаты поиска</w:t>
      </w:r>
    </w:p>
    <w:p w14:paraId="69545036">
      <w:pPr>
        <w:pStyle w:val="69"/>
      </w:pPr>
      <w:bookmarkStart w:id="1694" w:name="_Hlk206123801"/>
      <w:bookmarkStart w:id="1695" w:name="_Hlk206123905"/>
      <w:r>
        <w:t>Для просмотра списка СЭФД необходимо очистить значения фильтра, нажав кнопку «Очистить» в блоке «Фильтр», и нажать кнопку «Найти». При очистке фильтра автоматически проставляется период поиска СЭФД за последние 2 месяца.</w:t>
      </w:r>
    </w:p>
    <w:p w14:paraId="25D6A1CF">
      <w:pPr>
        <w:pStyle w:val="69"/>
      </w:pPr>
      <w:r>
        <w:t xml:space="preserve">Для обновления реестра СЭФД необходимо нажать кнопку «Найти» в блоке «Фильтр», воспользоваться клавишей </w:t>
      </w:r>
      <w:r>
        <w:rPr>
          <w:lang w:val="en-US"/>
        </w:rPr>
        <w:t>F</w:t>
      </w:r>
      <w:r>
        <w:t xml:space="preserve">5 или нажать кнопку </w:t>
      </w:r>
      <w:r>
        <w:drawing>
          <wp:inline distT="0" distB="0" distL="0" distR="0">
            <wp:extent cx="179705" cy="168910"/>
            <wp:effectExtent l="19050" t="19050" r="10795" b="21590"/>
            <wp:docPr id="548138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3802" name="Рисунок 1"/>
                    <pic:cNvPicPr>
                      <a:picLocks noChangeAspect="1"/>
                    </pic:cNvPicPr>
                  </pic:nvPicPr>
                  <pic:blipFill>
                    <a:blip r:embed="rId99"/>
                    <a:stretch>
                      <a:fillRect/>
                    </a:stretch>
                  </pic:blipFill>
                  <pic:spPr>
                    <a:xfrm>
                      <a:off x="0" y="0"/>
                      <a:ext cx="180000" cy="169091"/>
                    </a:xfrm>
                    <a:prstGeom prst="rect">
                      <a:avLst/>
                    </a:prstGeom>
                    <a:ln w="3175" cmpd="sng">
                      <a:solidFill>
                        <a:srgbClr val="000000"/>
                      </a:solidFill>
                    </a:ln>
                  </pic:spPr>
                </pic:pic>
              </a:graphicData>
            </a:graphic>
          </wp:inline>
        </w:drawing>
      </w:r>
      <w:r>
        <w:t xml:space="preserve"> «Обновить», расположенную над таблицей (рис. </w:t>
      </w:r>
      <w:r>
        <w:fldChar w:fldCharType="begin"/>
      </w:r>
      <w:r>
        <w:instrText xml:space="preserve"> REF  _Ref162527954 \h\#\0   \* MERGEFORMAT </w:instrText>
      </w:r>
      <w:r>
        <w:fldChar w:fldCharType="separate"/>
      </w:r>
      <w:r>
        <w:t>71</w:t>
      </w:r>
      <w:r>
        <w:fldChar w:fldCharType="end"/>
      </w:r>
      <w:r>
        <w:t>).</w:t>
      </w:r>
    </w:p>
    <w:p w14:paraId="302420EE">
      <w:pPr>
        <w:pStyle w:val="73"/>
      </w:pPr>
      <w:r>
        <w:drawing>
          <wp:inline distT="0" distB="0" distL="0" distR="0">
            <wp:extent cx="2517775" cy="743585"/>
            <wp:effectExtent l="19050" t="19050" r="15875" b="18415"/>
            <wp:docPr id="166035926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359262" name="Рисунок 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517775" cy="743585"/>
                    </a:xfrm>
                    <a:prstGeom prst="rect">
                      <a:avLst/>
                    </a:prstGeom>
                    <a:noFill/>
                    <a:ln w="3175" cmpd="sng">
                      <a:solidFill>
                        <a:srgbClr val="000000"/>
                      </a:solidFill>
                    </a:ln>
                  </pic:spPr>
                </pic:pic>
              </a:graphicData>
            </a:graphic>
          </wp:inline>
        </w:drawing>
      </w:r>
    </w:p>
    <w:p w14:paraId="4C349284">
      <w:pPr>
        <w:pStyle w:val="74"/>
      </w:pPr>
      <w:bookmarkStart w:id="1696" w:name="_Ref162527954"/>
      <w:r>
        <w:t xml:space="preserve">Рисунок </w:t>
      </w:r>
      <w:r>
        <w:fldChar w:fldCharType="begin"/>
      </w:r>
      <w:r>
        <w:instrText xml:space="preserve"> SEQ Рисунок \* ARABIC </w:instrText>
      </w:r>
      <w:r>
        <w:fldChar w:fldCharType="separate"/>
      </w:r>
      <w:r>
        <w:t>71</w:t>
      </w:r>
      <w:r>
        <w:fldChar w:fldCharType="end"/>
      </w:r>
      <w:bookmarkEnd w:id="1696"/>
      <w:r>
        <w:t xml:space="preserve"> — Кнопка обновления</w:t>
      </w:r>
    </w:p>
    <w:bookmarkEnd w:id="1694"/>
    <w:p w14:paraId="7B2E6B7C">
      <w:pPr>
        <w:pStyle w:val="69"/>
      </w:pPr>
      <w:bookmarkStart w:id="1697" w:name="_Toc162447532"/>
      <w:bookmarkEnd w:id="1697"/>
      <w:bookmarkStart w:id="1698" w:name="_Toc162517441"/>
      <w:bookmarkEnd w:id="1698"/>
      <w:bookmarkStart w:id="1699" w:name="_Toc163041800"/>
      <w:bookmarkEnd w:id="1699"/>
      <w:bookmarkStart w:id="1700" w:name="_Toc163043286"/>
      <w:bookmarkEnd w:id="1700"/>
      <w:bookmarkStart w:id="1701" w:name="_Toc162529003"/>
      <w:bookmarkEnd w:id="1701"/>
      <w:bookmarkStart w:id="1702" w:name="_Toc162447260"/>
      <w:bookmarkEnd w:id="1702"/>
      <w:bookmarkStart w:id="1703" w:name="_Toc163031225"/>
      <w:bookmarkEnd w:id="1703"/>
      <w:bookmarkStart w:id="1704" w:name="_Toc163041647"/>
      <w:bookmarkEnd w:id="1704"/>
      <w:r>
        <w:t xml:space="preserve">Просмотреть детальные сведения об оказанной медицинской помощи можно в карточке СЭФД. Для перехода в карточку СЭФД </w:t>
      </w:r>
      <w:bookmarkStart w:id="1705" w:name="_Hlk166575150"/>
      <w:r>
        <w:t xml:space="preserve">необходимо дважды нажать на соответствующую запись в «Реестре СЭФД». </w:t>
      </w:r>
      <w:bookmarkEnd w:id="1705"/>
      <w:bookmarkStart w:id="1706" w:name="_Hlk206014543"/>
      <w:r>
        <w:t xml:space="preserve">Произойдет переход в карточку выбранного СЭФД (рис. </w:t>
      </w:r>
      <w:r>
        <w:fldChar w:fldCharType="begin"/>
      </w:r>
      <w:r>
        <w:instrText xml:space="preserve"> REF  _Ref206017162 \h \t\#\0   \* MERGEFORMAT </w:instrText>
      </w:r>
      <w:r>
        <w:fldChar w:fldCharType="separate"/>
      </w:r>
      <w:r>
        <w:t>72</w:t>
      </w:r>
      <w:r>
        <w:fldChar w:fldCharType="end"/>
      </w:r>
      <w:r>
        <w:t>).</w:t>
      </w:r>
    </w:p>
    <w:p w14:paraId="161B695D">
      <w:pPr>
        <w:pStyle w:val="73"/>
      </w:pPr>
      <w:r>
        <w:drawing>
          <wp:inline distT="0" distB="0" distL="0" distR="0">
            <wp:extent cx="6120765" cy="3048000"/>
            <wp:effectExtent l="19050" t="19050" r="13335" b="19050"/>
            <wp:docPr id="90270689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706890" name="Рисунок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6120765" cy="3048000"/>
                    </a:xfrm>
                    <a:prstGeom prst="rect">
                      <a:avLst/>
                    </a:prstGeom>
                    <a:noFill/>
                    <a:ln w="3175" cmpd="sng">
                      <a:solidFill>
                        <a:srgbClr val="000000"/>
                      </a:solidFill>
                    </a:ln>
                  </pic:spPr>
                </pic:pic>
              </a:graphicData>
            </a:graphic>
          </wp:inline>
        </w:drawing>
      </w:r>
    </w:p>
    <w:p w14:paraId="27F1C220">
      <w:pPr>
        <w:pStyle w:val="74"/>
      </w:pPr>
      <w:bookmarkStart w:id="1707" w:name="_Ref206017162"/>
      <w:r>
        <w:t xml:space="preserve">Рисунок </w:t>
      </w:r>
      <w:r>
        <w:fldChar w:fldCharType="begin"/>
      </w:r>
      <w:r>
        <w:instrText xml:space="preserve"> SEQ Рисунок \* ARABIC </w:instrText>
      </w:r>
      <w:r>
        <w:fldChar w:fldCharType="separate"/>
      </w:r>
      <w:r>
        <w:t>72</w:t>
      </w:r>
      <w:r>
        <w:fldChar w:fldCharType="end"/>
      </w:r>
      <w:bookmarkEnd w:id="1707"/>
      <w:r>
        <w:t xml:space="preserve"> — Карточка СЭФД СТЦ</w:t>
      </w:r>
    </w:p>
    <w:bookmarkEnd w:id="1706"/>
    <w:p w14:paraId="3ECD7180">
      <w:pPr>
        <w:pStyle w:val="69"/>
      </w:pPr>
      <w:r>
        <w:t xml:space="preserve">В информационной строке карточки СЭФД отображаются основные сведения (рис. </w:t>
      </w:r>
      <w:r>
        <w:fldChar w:fldCharType="begin"/>
      </w:r>
      <w:r>
        <w:instrText xml:space="preserve"> REF  _Ref166667922 \h\#\0   \* MERGEFORMAT </w:instrText>
      </w:r>
      <w:r>
        <w:fldChar w:fldCharType="separate"/>
      </w:r>
      <w:r>
        <w:t>73</w:t>
      </w:r>
      <w:r>
        <w:fldChar w:fldCharType="end"/>
      </w:r>
      <w:r>
        <w:t>).</w:t>
      </w:r>
    </w:p>
    <w:p w14:paraId="6A88090D">
      <w:pPr>
        <w:pStyle w:val="73"/>
      </w:pPr>
      <w:r>
        <w:drawing>
          <wp:inline distT="0" distB="0" distL="0" distR="0">
            <wp:extent cx="5414010" cy="1122045"/>
            <wp:effectExtent l="19050" t="19050" r="15240" b="20955"/>
            <wp:docPr id="83095568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955683" name="Рисунок 3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414010" cy="1122045"/>
                    </a:xfrm>
                    <a:prstGeom prst="rect">
                      <a:avLst/>
                    </a:prstGeom>
                    <a:noFill/>
                    <a:ln w="3175" cmpd="sng">
                      <a:solidFill>
                        <a:srgbClr val="000000"/>
                      </a:solidFill>
                    </a:ln>
                  </pic:spPr>
                </pic:pic>
              </a:graphicData>
            </a:graphic>
          </wp:inline>
        </w:drawing>
      </w:r>
    </w:p>
    <w:p w14:paraId="7FD0287C">
      <w:pPr>
        <w:pStyle w:val="74"/>
      </w:pPr>
      <w:bookmarkStart w:id="1708" w:name="_Ref166667922"/>
      <w:r>
        <w:t xml:space="preserve">Рисунок </w:t>
      </w:r>
      <w:r>
        <w:fldChar w:fldCharType="begin"/>
      </w:r>
      <w:r>
        <w:instrText xml:space="preserve"> SEQ Рисунок \* ARABIC </w:instrText>
      </w:r>
      <w:r>
        <w:fldChar w:fldCharType="separate"/>
      </w:r>
      <w:r>
        <w:t>73</w:t>
      </w:r>
      <w:r>
        <w:fldChar w:fldCharType="end"/>
      </w:r>
      <w:bookmarkEnd w:id="1708"/>
      <w:r>
        <w:t xml:space="preserve"> — Строка состояния документа</w:t>
      </w:r>
    </w:p>
    <w:p w14:paraId="7B05BCDB">
      <w:pPr>
        <w:pStyle w:val="69"/>
      </w:pPr>
      <w:r>
        <w:t xml:space="preserve">Текущее состояние документа отображается в поле «Статус». При наведении курсора на поле «Статус» отображается расшифровка статуса документа (рис. </w:t>
      </w:r>
      <w:r>
        <w:fldChar w:fldCharType="begin"/>
      </w:r>
      <w:r>
        <w:instrText xml:space="preserve"> REF  _Ref163549067 \h\#0   \* MERGEFORMAT </w:instrText>
      </w:r>
      <w:r>
        <w:fldChar w:fldCharType="separate"/>
      </w:r>
      <w:r>
        <w:t>74</w:t>
      </w:r>
      <w:r>
        <w:fldChar w:fldCharType="end"/>
      </w:r>
      <w:r>
        <w:t>).</w:t>
      </w:r>
    </w:p>
    <w:p w14:paraId="777C5A51">
      <w:pPr>
        <w:pStyle w:val="73"/>
      </w:pPr>
      <w:r>
        <w:drawing>
          <wp:inline distT="0" distB="0" distL="0" distR="0">
            <wp:extent cx="5414010" cy="993775"/>
            <wp:effectExtent l="19050" t="19050" r="15240" b="15875"/>
            <wp:docPr id="114380767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807676" name="Рисунок 3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5414010" cy="993775"/>
                    </a:xfrm>
                    <a:prstGeom prst="rect">
                      <a:avLst/>
                    </a:prstGeom>
                    <a:noFill/>
                    <a:ln w="3175" cmpd="sng">
                      <a:solidFill>
                        <a:srgbClr val="000000"/>
                      </a:solidFill>
                    </a:ln>
                  </pic:spPr>
                </pic:pic>
              </a:graphicData>
            </a:graphic>
          </wp:inline>
        </w:drawing>
      </w:r>
    </w:p>
    <w:p w14:paraId="2B3B8FAB">
      <w:pPr>
        <w:pStyle w:val="74"/>
      </w:pPr>
      <w:bookmarkStart w:id="1709" w:name="_Ref163549067"/>
      <w:r>
        <w:t xml:space="preserve">Рисунок </w:t>
      </w:r>
      <w:r>
        <w:fldChar w:fldCharType="begin"/>
      </w:r>
      <w:r>
        <w:instrText xml:space="preserve"> SEQ Рисунок \* ARABIC </w:instrText>
      </w:r>
      <w:r>
        <w:fldChar w:fldCharType="separate"/>
      </w:r>
      <w:r>
        <w:t>74</w:t>
      </w:r>
      <w:r>
        <w:fldChar w:fldCharType="end"/>
      </w:r>
      <w:bookmarkEnd w:id="1709"/>
      <w:r>
        <w:t xml:space="preserve"> — Статус СЭФД</w:t>
      </w:r>
    </w:p>
    <w:p w14:paraId="2CAE443D">
      <w:pPr>
        <w:pStyle w:val="69"/>
      </w:pPr>
      <w:r>
        <w:t xml:space="preserve">При наведении курсора на значок </w:t>
      </w:r>
      <w:r>
        <w:drawing>
          <wp:inline distT="0" distB="0" distL="0" distR="0">
            <wp:extent cx="219075" cy="190500"/>
            <wp:effectExtent l="19050" t="19050" r="28575" b="19050"/>
            <wp:docPr id="20752422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242223" name="Рисунок 1"/>
                    <pic:cNvPicPr>
                      <a:picLocks noChangeAspect="1"/>
                    </pic:cNvPicPr>
                  </pic:nvPicPr>
                  <pic:blipFill>
                    <a:blip r:embed="rId104"/>
                    <a:stretch>
                      <a:fillRect/>
                    </a:stretch>
                  </pic:blipFill>
                  <pic:spPr>
                    <a:xfrm>
                      <a:off x="0" y="0"/>
                      <a:ext cx="219106" cy="190527"/>
                    </a:xfrm>
                    <a:prstGeom prst="rect">
                      <a:avLst/>
                    </a:prstGeom>
                    <a:ln w="3175" cmpd="sng">
                      <a:solidFill>
                        <a:srgbClr val="000000"/>
                      </a:solidFill>
                    </a:ln>
                  </pic:spPr>
                </pic:pic>
              </a:graphicData>
            </a:graphic>
          </wp:inline>
        </w:drawing>
      </w:r>
      <w:r>
        <w:t xml:space="preserve"> «Информация» (рис. </w:t>
      </w:r>
      <w:r>
        <w:fldChar w:fldCharType="begin"/>
      </w:r>
      <w:r>
        <w:instrText xml:space="preserve"> REF  _Ref146205361 \h\#\0   \* MERGEFORMAT </w:instrText>
      </w:r>
      <w:r>
        <w:fldChar w:fldCharType="separate"/>
      </w:r>
      <w:r>
        <w:t>75</w:t>
      </w:r>
      <w:r>
        <w:fldChar w:fldCharType="end"/>
      </w:r>
      <w:r>
        <w:t>) отображаются основные сведения о версии СЭФД:</w:t>
      </w:r>
    </w:p>
    <w:p w14:paraId="5E36CCA6">
      <w:pPr>
        <w:pStyle w:val="76"/>
      </w:pPr>
      <w:r>
        <w:t>номер версии СЭФД;</w:t>
      </w:r>
    </w:p>
    <w:p w14:paraId="7755D5D7">
      <w:pPr>
        <w:pStyle w:val="76"/>
      </w:pPr>
      <w:r>
        <w:t>дата и время создания версии СЭФД;</w:t>
      </w:r>
    </w:p>
    <w:p w14:paraId="32F99BA2">
      <w:pPr>
        <w:pStyle w:val="76"/>
      </w:pPr>
      <w:r>
        <w:t>дата и время обновления версии СЭФД;</w:t>
      </w:r>
    </w:p>
    <w:p w14:paraId="2CD45983">
      <w:pPr>
        <w:pStyle w:val="76"/>
      </w:pPr>
      <w:r>
        <w:t>учетная запись пользователя, создавшего СЭФД;</w:t>
      </w:r>
    </w:p>
    <w:p w14:paraId="697AD140">
      <w:pPr>
        <w:pStyle w:val="76"/>
      </w:pPr>
      <w:r>
        <w:t>учетная запись пользователя, внесшего изменения в СЭФД;</w:t>
      </w:r>
    </w:p>
    <w:p w14:paraId="27BA7C36">
      <w:pPr>
        <w:pStyle w:val="76"/>
      </w:pPr>
      <w:r>
        <w:t>путь поступления (</w:t>
      </w:r>
      <w:bookmarkStart w:id="1710" w:name="_Hlk176196884"/>
      <w:r>
        <w:t>интерфейс/веб-сервисы</w:t>
      </w:r>
      <w:bookmarkEnd w:id="1710"/>
      <w:r>
        <w:t>).</w:t>
      </w:r>
    </w:p>
    <w:p w14:paraId="50B185D8">
      <w:pPr>
        <w:pStyle w:val="73"/>
      </w:pPr>
      <w:r>
        <w:drawing>
          <wp:inline distT="0" distB="0" distL="0" distR="0">
            <wp:extent cx="5450205" cy="1256030"/>
            <wp:effectExtent l="19050" t="19050" r="17145" b="20320"/>
            <wp:docPr id="77265209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652096" name="Рисунок 3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5450205" cy="1256030"/>
                    </a:xfrm>
                    <a:prstGeom prst="rect">
                      <a:avLst/>
                    </a:prstGeom>
                    <a:noFill/>
                    <a:ln w="3175" cmpd="sng">
                      <a:solidFill>
                        <a:srgbClr val="000000"/>
                      </a:solidFill>
                    </a:ln>
                  </pic:spPr>
                </pic:pic>
              </a:graphicData>
            </a:graphic>
          </wp:inline>
        </w:drawing>
      </w:r>
    </w:p>
    <w:p w14:paraId="5CA3704C">
      <w:pPr>
        <w:pStyle w:val="74"/>
      </w:pPr>
      <w:bookmarkStart w:id="1711" w:name="_Ref146205361"/>
      <w:r>
        <w:t xml:space="preserve">Рисунок </w:t>
      </w:r>
      <w:r>
        <w:fldChar w:fldCharType="begin"/>
      </w:r>
      <w:r>
        <w:instrText xml:space="preserve"> SEQ Рисунок \* ARABIC </w:instrText>
      </w:r>
      <w:r>
        <w:fldChar w:fldCharType="separate"/>
      </w:r>
      <w:r>
        <w:t>75</w:t>
      </w:r>
      <w:r>
        <w:fldChar w:fldCharType="end"/>
      </w:r>
      <w:bookmarkEnd w:id="1711"/>
      <w:r>
        <w:t xml:space="preserve"> — </w:t>
      </w:r>
      <w:bookmarkStart w:id="1712" w:name="_Hlk163548451"/>
      <w:r>
        <w:t>Информация о СЭФД</w:t>
      </w:r>
      <w:bookmarkEnd w:id="1712"/>
    </w:p>
    <w:bookmarkEnd w:id="1695"/>
    <w:p w14:paraId="49A98DAC">
      <w:pPr>
        <w:pStyle w:val="60"/>
      </w:pPr>
      <w:bookmarkStart w:id="1713" w:name="_Toc155773756"/>
      <w:bookmarkStart w:id="1714" w:name="_Toc225866339"/>
      <w:bookmarkStart w:id="1715" w:name="_Ref154569636"/>
      <w:bookmarkStart w:id="1716" w:name="_Hlk154482127"/>
      <w:r>
        <w:t>Просмотр результатов ФЛК и МЭК СЭФД</w:t>
      </w:r>
      <w:bookmarkEnd w:id="1713"/>
      <w:bookmarkEnd w:id="1714"/>
      <w:bookmarkEnd w:id="1715"/>
    </w:p>
    <w:bookmarkEnd w:id="1716"/>
    <w:p w14:paraId="08ACDB20">
      <w:pPr>
        <w:pStyle w:val="69"/>
      </w:pPr>
      <w:bookmarkStart w:id="1717" w:name="_Hlk206124562"/>
      <w:r>
        <w:t xml:space="preserve">Результаты проверок форматно-логического и медико-экономического контроля (ФЛК и МЭК) можно просмотреть в подразделе «Ошибки ФЛК» СЭФД (рис. </w:t>
      </w:r>
      <w:r>
        <w:fldChar w:fldCharType="begin"/>
      </w:r>
      <w:r>
        <w:instrText xml:space="preserve"> REF  _Ref162527840 \h\#\0   \* MERGEFORMAT </w:instrText>
      </w:r>
      <w:r>
        <w:fldChar w:fldCharType="separate"/>
      </w:r>
      <w:r>
        <w:t>76</w:t>
      </w:r>
      <w:r>
        <w:fldChar w:fldCharType="end"/>
      </w:r>
      <w:r>
        <w:t>).</w:t>
      </w:r>
    </w:p>
    <w:p w14:paraId="64A8BC40">
      <w:pPr>
        <w:pStyle w:val="73"/>
      </w:pPr>
      <w:r>
        <w:drawing>
          <wp:inline distT="0" distB="0" distL="0" distR="0">
            <wp:extent cx="6120765" cy="1487805"/>
            <wp:effectExtent l="19050" t="19050" r="13335" b="17145"/>
            <wp:docPr id="106039976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399764" name="Рисунок 3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6120765" cy="1487805"/>
                    </a:xfrm>
                    <a:prstGeom prst="rect">
                      <a:avLst/>
                    </a:prstGeom>
                    <a:noFill/>
                    <a:ln w="3175" cmpd="sng">
                      <a:solidFill>
                        <a:srgbClr val="000000"/>
                      </a:solidFill>
                    </a:ln>
                  </pic:spPr>
                </pic:pic>
              </a:graphicData>
            </a:graphic>
          </wp:inline>
        </w:drawing>
      </w:r>
    </w:p>
    <w:p w14:paraId="5C84636B">
      <w:pPr>
        <w:pStyle w:val="74"/>
      </w:pPr>
      <w:bookmarkStart w:id="1718" w:name="_Ref162527840"/>
      <w:r>
        <w:t xml:space="preserve">Рисунок </w:t>
      </w:r>
      <w:r>
        <w:fldChar w:fldCharType="begin"/>
      </w:r>
      <w:r>
        <w:instrText xml:space="preserve"> SEQ Рисунок \* ARABIC </w:instrText>
      </w:r>
      <w:r>
        <w:fldChar w:fldCharType="separate"/>
      </w:r>
      <w:r>
        <w:t>76</w:t>
      </w:r>
      <w:r>
        <w:fldChar w:fldCharType="end"/>
      </w:r>
      <w:bookmarkEnd w:id="1718"/>
      <w:r>
        <w:t xml:space="preserve"> — Представление информации об ошибках. Раздел «Ошибки ФЛК»</w:t>
      </w:r>
    </w:p>
    <w:p w14:paraId="5DE6D716">
      <w:pPr>
        <w:pStyle w:val="69"/>
      </w:pPr>
      <w:r>
        <w:t>Выявленные ошибки отображаются в следующих блоках:</w:t>
      </w:r>
    </w:p>
    <w:p w14:paraId="7BD65150">
      <w:pPr>
        <w:pStyle w:val="76"/>
      </w:pPr>
      <w:r>
        <w:t>«Ошибки по документу» — ошибки, допущенные при заполнении документа. Носят информационный характер и не препятствуют формированию реестра счетов, выполняются асинхронно после сохранения документа;</w:t>
      </w:r>
    </w:p>
    <w:p w14:paraId="67FA6099">
      <w:pPr>
        <w:pStyle w:val="76"/>
      </w:pPr>
      <w:r>
        <w:t>«Ошибки по счету» — ошибки, выявленные при формировании счетов с ФЛК счета. Носят информационный характер и не препятствуют формированию и отправке реестра счетов плательщику;</w:t>
      </w:r>
    </w:p>
    <w:p w14:paraId="0B58B536">
      <w:pPr>
        <w:pStyle w:val="76"/>
      </w:pPr>
      <w:r>
        <w:t>«Ошибки МЭК» — ошибки (браковки), выявленные плательщиком при проведении медико-экономического контроля, браковки, полученные от плательщиков.</w:t>
      </w:r>
      <w:bookmarkEnd w:id="1717"/>
    </w:p>
    <w:p w14:paraId="652C941C">
      <w:pPr>
        <w:pStyle w:val="60"/>
      </w:pPr>
      <w:bookmarkStart w:id="1719" w:name="_Toc225866340"/>
      <w:bookmarkStart w:id="1720" w:name="_Ref154584018"/>
      <w:bookmarkStart w:id="1721" w:name="_Toc155773757"/>
      <w:bookmarkStart w:id="1722" w:name="_Hlk154482237"/>
      <w:r>
        <w:t>Просмотр сведений, попавших в счет</w:t>
      </w:r>
      <w:bookmarkEnd w:id="1719"/>
      <w:bookmarkEnd w:id="1720"/>
      <w:bookmarkEnd w:id="1721"/>
    </w:p>
    <w:p w14:paraId="3E928605">
      <w:pPr>
        <w:pStyle w:val="69"/>
      </w:pPr>
      <w:bookmarkStart w:id="1723" w:name="_Hlk206124646"/>
      <w:r>
        <w:t xml:space="preserve">Для просмотра сведений, попавших в счет, перейти на вкладку «Информационная посылка» (рис. </w:t>
      </w:r>
      <w:r>
        <w:fldChar w:fldCharType="begin"/>
      </w:r>
      <w:r>
        <w:instrText xml:space="preserve"> REF  _Ref162527778 \h\#\0   \* MERGEFORMAT </w:instrText>
      </w:r>
      <w:r>
        <w:fldChar w:fldCharType="separate"/>
      </w:r>
      <w:r>
        <w:t>77</w:t>
      </w:r>
      <w:r>
        <w:fldChar w:fldCharType="end"/>
      </w:r>
      <w:r>
        <w:t>).</w:t>
      </w:r>
    </w:p>
    <w:p w14:paraId="162C3DC5">
      <w:pPr>
        <w:pStyle w:val="73"/>
      </w:pPr>
      <w:r>
        <w:drawing>
          <wp:inline distT="0" distB="0" distL="0" distR="0">
            <wp:extent cx="6120765" cy="560705"/>
            <wp:effectExtent l="19050" t="19050" r="13335" b="10795"/>
            <wp:docPr id="186894739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47396" name="Рисунок 2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6120765" cy="560705"/>
                    </a:xfrm>
                    <a:prstGeom prst="rect">
                      <a:avLst/>
                    </a:prstGeom>
                    <a:noFill/>
                    <a:ln w="3175" cmpd="sng">
                      <a:solidFill>
                        <a:srgbClr val="000000"/>
                      </a:solidFill>
                    </a:ln>
                  </pic:spPr>
                </pic:pic>
              </a:graphicData>
            </a:graphic>
          </wp:inline>
        </w:drawing>
      </w:r>
    </w:p>
    <w:p w14:paraId="3A4A5AC6">
      <w:pPr>
        <w:pStyle w:val="74"/>
      </w:pPr>
      <w:bookmarkStart w:id="1724" w:name="_Ref162527778"/>
      <w:r>
        <w:t xml:space="preserve">Рисунок </w:t>
      </w:r>
      <w:r>
        <w:fldChar w:fldCharType="begin"/>
      </w:r>
      <w:r>
        <w:instrText xml:space="preserve"> SEQ Рисунок \* ARABIC </w:instrText>
      </w:r>
      <w:r>
        <w:fldChar w:fldCharType="separate"/>
      </w:r>
      <w:r>
        <w:t>77</w:t>
      </w:r>
      <w:r>
        <w:fldChar w:fldCharType="end"/>
      </w:r>
      <w:bookmarkEnd w:id="1724"/>
      <w:r>
        <w:t xml:space="preserve"> — Вкладка «Информационная посылка». Сведения информационной посылки</w:t>
      </w:r>
    </w:p>
    <w:p w14:paraId="51893E36">
      <w:pPr>
        <w:pStyle w:val="69"/>
      </w:pPr>
      <w:r>
        <w:t xml:space="preserve">Рабочая область раздела «Информационная посылка» содержит два блока (рис. </w:t>
      </w:r>
      <w:r>
        <w:fldChar w:fldCharType="begin"/>
      </w:r>
      <w:r>
        <w:instrText xml:space="preserve"> REF  _Ref162527804 \h\#\0   \* MERGEFORMAT </w:instrText>
      </w:r>
      <w:r>
        <w:fldChar w:fldCharType="separate"/>
      </w:r>
      <w:r>
        <w:t>78</w:t>
      </w:r>
      <w:r>
        <w:fldChar w:fldCharType="end"/>
      </w:r>
      <w:r>
        <w:t>):</w:t>
      </w:r>
    </w:p>
    <w:p w14:paraId="1924871E">
      <w:pPr>
        <w:pStyle w:val="76"/>
      </w:pPr>
      <w:r>
        <w:t>«Счет»;</w:t>
      </w:r>
    </w:p>
    <w:p w14:paraId="29605A26">
      <w:pPr>
        <w:pStyle w:val="76"/>
      </w:pPr>
      <w:r>
        <w:t>«Запись счета».</w:t>
      </w:r>
    </w:p>
    <w:p w14:paraId="706F2BE2">
      <w:pPr>
        <w:pStyle w:val="73"/>
      </w:pPr>
      <w:r>
        <w:drawing>
          <wp:inline distT="0" distB="0" distL="0" distR="0">
            <wp:extent cx="6119495" cy="2214245"/>
            <wp:effectExtent l="19050" t="19050" r="14605" b="14605"/>
            <wp:docPr id="212807808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078080" name="Рисунок 13"/>
                    <pic:cNvPicPr>
                      <a:picLocks noChangeAspect="1" noChangeArrowheads="1"/>
                    </pic:cNvPicPr>
                  </pic:nvPicPr>
                  <pic:blipFill>
                    <a:blip r:embed="rId108"/>
                    <a:stretch>
                      <a:fillRect/>
                    </a:stretch>
                  </pic:blipFill>
                  <pic:spPr>
                    <a:xfrm>
                      <a:off x="0" y="0"/>
                      <a:ext cx="6123869" cy="2216120"/>
                    </a:xfrm>
                    <a:prstGeom prst="rect">
                      <a:avLst/>
                    </a:prstGeom>
                    <a:noFill/>
                    <a:ln w="3175" cmpd="sng">
                      <a:solidFill>
                        <a:srgbClr val="000000"/>
                      </a:solidFill>
                    </a:ln>
                  </pic:spPr>
                </pic:pic>
              </a:graphicData>
            </a:graphic>
          </wp:inline>
        </w:drawing>
      </w:r>
    </w:p>
    <w:p w14:paraId="73F37343">
      <w:pPr>
        <w:pStyle w:val="74"/>
      </w:pPr>
      <w:bookmarkStart w:id="1725" w:name="_Ref162527804"/>
      <w:r>
        <w:t xml:space="preserve">Рисунок </w:t>
      </w:r>
      <w:r>
        <w:fldChar w:fldCharType="begin"/>
      </w:r>
      <w:r>
        <w:instrText xml:space="preserve"> SEQ Рисунок \* ARABIC </w:instrText>
      </w:r>
      <w:r>
        <w:fldChar w:fldCharType="separate"/>
      </w:r>
      <w:r>
        <w:t>78</w:t>
      </w:r>
      <w:r>
        <w:fldChar w:fldCharType="end"/>
      </w:r>
      <w:bookmarkEnd w:id="1725"/>
      <w:r>
        <w:t xml:space="preserve"> — Информационная посылка</w:t>
      </w:r>
    </w:p>
    <w:p w14:paraId="5D99BC69">
      <w:pPr>
        <w:pStyle w:val="69"/>
      </w:pPr>
      <w:r>
        <w:t>В блоке «Счет» отображаются версии счета, в который включен СЭФД при формировании счета МО.</w:t>
      </w:r>
    </w:p>
    <w:p w14:paraId="6DDDF7B6">
      <w:pPr>
        <w:pStyle w:val="69"/>
      </w:pPr>
      <w:r>
        <w:t>Имя файла отображается в виде: ДДГГММПППППОООООО-ТВВ-НННН.</w:t>
      </w:r>
    </w:p>
    <w:p w14:paraId="7774ECB6">
      <w:pPr>
        <w:pStyle w:val="80"/>
      </w:pPr>
      <w:r>
        <w:t xml:space="preserve">     где ДД — тип документа;</w:t>
      </w:r>
    </w:p>
    <w:p w14:paraId="5BA9FC06">
      <w:pPr>
        <w:pStyle w:val="69"/>
      </w:pPr>
      <w:r>
        <w:t>ГГ — последние две цифры года;</w:t>
      </w:r>
    </w:p>
    <w:p w14:paraId="23366067">
      <w:pPr>
        <w:pStyle w:val="69"/>
      </w:pPr>
      <w:r>
        <w:t>ММ — порядковый номер отчетного месяц;</w:t>
      </w:r>
    </w:p>
    <w:p w14:paraId="781D0A4F">
      <w:pPr>
        <w:pStyle w:val="69"/>
      </w:pPr>
      <w:r>
        <w:t xml:space="preserve">ППППП — код плательщика по справочнику F020 (если в качестве СМО выступает ТФОМС – по маске 000ПП, где ПП – код ТФОМС по справочнику </w:t>
      </w:r>
      <w:r>
        <w:rPr>
          <w:lang w:val="en-US"/>
        </w:rPr>
        <w:t>F</w:t>
      </w:r>
      <w:r>
        <w:t>001);</w:t>
      </w:r>
    </w:p>
    <w:p w14:paraId="0D217010">
      <w:pPr>
        <w:pStyle w:val="69"/>
      </w:pPr>
      <w:r>
        <w:t>ОООООО — код МО в ФРМО.МО в системе ОМС (OMS_ID);</w:t>
      </w:r>
    </w:p>
    <w:p w14:paraId="56D4D6ED">
      <w:pPr>
        <w:pStyle w:val="69"/>
      </w:pPr>
      <w:r>
        <w:t>Т — код бизнес-процесса;</w:t>
      </w:r>
    </w:p>
    <w:p w14:paraId="3E461605">
      <w:pPr>
        <w:pStyle w:val="69"/>
      </w:pPr>
      <w:r>
        <w:t>ВВ — подвид бизнес-процесса;</w:t>
      </w:r>
    </w:p>
    <w:p w14:paraId="21C78214">
      <w:pPr>
        <w:pStyle w:val="69"/>
      </w:pPr>
      <w:r>
        <w:t>НННН — номер версии счета.</w:t>
      </w:r>
    </w:p>
    <w:p w14:paraId="7DD5FEF2">
      <w:pPr>
        <w:pStyle w:val="69"/>
      </w:pPr>
      <w:r>
        <w:t>Информация о версии счета содержит следующие основные сведения:</w:t>
      </w:r>
    </w:p>
    <w:p w14:paraId="0DF749F6">
      <w:pPr>
        <w:pStyle w:val="76"/>
      </w:pPr>
      <w:r>
        <w:t>«Дата» — дата и время создания счета;</w:t>
      </w:r>
    </w:p>
    <w:p w14:paraId="15A28746">
      <w:pPr>
        <w:pStyle w:val="76"/>
      </w:pPr>
      <w:r>
        <w:t>«Код записи счета» — идентификатор записи счета;</w:t>
      </w:r>
    </w:p>
    <w:p w14:paraId="172C3790">
      <w:pPr>
        <w:pStyle w:val="76"/>
      </w:pPr>
      <w:r>
        <w:t>«Код версии счета» — код версии счета,</w:t>
      </w:r>
    </w:p>
    <w:p w14:paraId="165C4C75">
      <w:pPr>
        <w:pStyle w:val="76"/>
      </w:pPr>
      <w:r>
        <w:t>«Реестровый номер МО» — код медицинской организации;</w:t>
      </w:r>
    </w:p>
    <w:p w14:paraId="6DEDE05E">
      <w:pPr>
        <w:pStyle w:val="76"/>
      </w:pPr>
      <w:r>
        <w:t>«Отчетный год» — год формирования счета;</w:t>
      </w:r>
    </w:p>
    <w:p w14:paraId="59C57B5F">
      <w:pPr>
        <w:pStyle w:val="76"/>
      </w:pPr>
      <w:r>
        <w:t>«Отчетный месяц» — месяц формирования счета;</w:t>
      </w:r>
    </w:p>
    <w:p w14:paraId="081AC3DB">
      <w:pPr>
        <w:pStyle w:val="76"/>
      </w:pPr>
      <w:r>
        <w:t>«Номер счета»</w:t>
      </w:r>
      <w:r>
        <w:rPr>
          <w:lang w:val="en-US"/>
        </w:rPr>
        <w:t>;</w:t>
      </w:r>
    </w:p>
    <w:p w14:paraId="05D861F5">
      <w:pPr>
        <w:pStyle w:val="76"/>
      </w:pPr>
      <w:r>
        <w:t>«Дата выставленного счета» — дата формирования счета;</w:t>
      </w:r>
    </w:p>
    <w:p w14:paraId="5932ACB9">
      <w:pPr>
        <w:pStyle w:val="76"/>
      </w:pPr>
      <w:r>
        <w:t>«Реестровый номер плательщика» — по справочнику F019 «Справочник организаций, осуществляющих оплату медицинской помощи по обязательному медицинскому страхованию».</w:t>
      </w:r>
    </w:p>
    <w:p w14:paraId="0819224E">
      <w:pPr>
        <w:pStyle w:val="69"/>
      </w:pPr>
      <w:r>
        <w:t xml:space="preserve">При нажатии на блок со сведениями о счете, в блоке «Запись счета» отобразится содержимое тэга &lt;ZAP&gt; из U-файла (рис. </w:t>
      </w:r>
      <w:r>
        <w:fldChar w:fldCharType="begin"/>
      </w:r>
      <w:r>
        <w:instrText xml:space="preserve"> REF  _Ref154157800 \h\#\0   \* MERGEFORMAT </w:instrText>
      </w:r>
      <w:r>
        <w:fldChar w:fldCharType="separate"/>
      </w:r>
      <w:r>
        <w:t>79</w:t>
      </w:r>
      <w:r>
        <w:fldChar w:fldCharType="end"/>
      </w:r>
      <w:r>
        <w:t xml:space="preserve">) в формате </w:t>
      </w:r>
      <w:r>
        <w:rPr>
          <w:lang w:val="en-US"/>
        </w:rPr>
        <w:t>XML</w:t>
      </w:r>
      <w:r>
        <w:t>. Чтобы скопировать содержимое записи счета нажать кнопку «Скопировать содержимое».</w:t>
      </w:r>
    </w:p>
    <w:p w14:paraId="4745CFCB">
      <w:pPr>
        <w:pStyle w:val="73"/>
      </w:pPr>
      <w:r>
        <w:drawing>
          <wp:inline distT="0" distB="0" distL="0" distR="0">
            <wp:extent cx="6120765" cy="2901315"/>
            <wp:effectExtent l="19050" t="19050" r="13335" b="13335"/>
            <wp:docPr id="16517141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71416" name="Рисунок 14"/>
                    <pic:cNvPicPr>
                      <a:picLocks noChangeAspect="1" noChangeArrowheads="1"/>
                    </pic:cNvPicPr>
                  </pic:nvPicPr>
                  <pic:blipFill>
                    <a:blip r:embed="rId109"/>
                    <a:stretch>
                      <a:fillRect/>
                    </a:stretch>
                  </pic:blipFill>
                  <pic:spPr>
                    <a:xfrm>
                      <a:off x="0" y="0"/>
                      <a:ext cx="6120765" cy="2901877"/>
                    </a:xfrm>
                    <a:prstGeom prst="rect">
                      <a:avLst/>
                    </a:prstGeom>
                    <a:noFill/>
                    <a:ln w="3175" cmpd="sng">
                      <a:solidFill>
                        <a:srgbClr val="000000"/>
                      </a:solidFill>
                    </a:ln>
                  </pic:spPr>
                </pic:pic>
              </a:graphicData>
            </a:graphic>
          </wp:inline>
        </w:drawing>
      </w:r>
    </w:p>
    <w:p w14:paraId="151DF0FA">
      <w:pPr>
        <w:pStyle w:val="74"/>
      </w:pPr>
      <w:bookmarkStart w:id="1726" w:name="_Ref154157800"/>
      <w:r>
        <w:t xml:space="preserve">Рисунок </w:t>
      </w:r>
      <w:r>
        <w:fldChar w:fldCharType="begin"/>
      </w:r>
      <w:r>
        <w:instrText xml:space="preserve"> SEQ Рисунок \* ARABIC </w:instrText>
      </w:r>
      <w:r>
        <w:fldChar w:fldCharType="separate"/>
      </w:r>
      <w:r>
        <w:t>79</w:t>
      </w:r>
      <w:r>
        <w:fldChar w:fldCharType="end"/>
      </w:r>
      <w:bookmarkEnd w:id="1726"/>
      <w:r>
        <w:t xml:space="preserve"> — Запись счета. Содержимое тэга &lt;ZAP&gt; из U-файла</w:t>
      </w:r>
      <w:bookmarkEnd w:id="1723"/>
    </w:p>
    <w:p w14:paraId="053CE039">
      <w:pPr>
        <w:pStyle w:val="60"/>
      </w:pPr>
      <w:bookmarkStart w:id="1727" w:name="_Toc185352681"/>
      <w:bookmarkStart w:id="1728" w:name="_Ref185352325"/>
      <w:bookmarkStart w:id="1729" w:name="_Toc225866341"/>
      <w:r>
        <w:t xml:space="preserve">Просмотр сведений в составе СЭФД по разделу </w:t>
      </w:r>
      <w:r>
        <w:rPr>
          <w:lang w:val="en-US"/>
        </w:rPr>
        <w:t>XV</w:t>
      </w:r>
      <w:r>
        <w:t xml:space="preserve"> Правил ОМС</w:t>
      </w:r>
      <w:bookmarkEnd w:id="1727"/>
      <w:bookmarkEnd w:id="1728"/>
      <w:bookmarkEnd w:id="1729"/>
    </w:p>
    <w:p w14:paraId="0B72A2FB">
      <w:pPr>
        <w:pStyle w:val="69"/>
      </w:pPr>
      <w:r>
        <w:t xml:space="preserve">В разделе «Реестр СЭФД» реализован блок фильтра «Приказ 108н», позволяющий задать параметры поиска и получить сведения в составе СЭФД, переданные медицинской организацией в соответствии с Приказом 108н (раздел </w:t>
      </w:r>
      <w:r>
        <w:rPr>
          <w:lang w:val="en-US"/>
        </w:rPr>
        <w:t>XV</w:t>
      </w:r>
      <w:r>
        <w:t xml:space="preserve"> «Порядок информационного сопровождения застрахованных лиц на всех этапах оказания им медицинской помощи» Правил ОМС</w:t>
      </w:r>
      <w:r>
        <w:rPr>
          <w:rStyle w:val="13"/>
        </w:rPr>
        <w:footnoteReference w:id="1"/>
      </w:r>
      <w:r>
        <w:t>).</w:t>
      </w:r>
    </w:p>
    <w:p w14:paraId="47E33A78">
      <w:pPr>
        <w:pStyle w:val="69"/>
      </w:pPr>
      <w:r>
        <w:t xml:space="preserve">Описание параметров фильтра и вид сведений в составе СЭФД, соответствующих пунктам раздела </w:t>
      </w:r>
      <w:r>
        <w:rPr>
          <w:lang w:val="en-US"/>
        </w:rPr>
        <w:t>XV</w:t>
      </w:r>
      <w:r>
        <w:t xml:space="preserve"> Правил ОМС, приведено в таблице </w:t>
      </w:r>
      <w:r>
        <w:fldChar w:fldCharType="begin"/>
      </w:r>
      <w:r>
        <w:instrText xml:space="preserve"> REF  _Ref185349540 \h\#\0   \* MERGEFORMAT </w:instrText>
      </w:r>
      <w:r>
        <w:fldChar w:fldCharType="separate"/>
      </w:r>
      <w:r>
        <w:t>2</w:t>
      </w:r>
      <w:r>
        <w:fldChar w:fldCharType="end"/>
      </w:r>
      <w:r>
        <w:t>.</w:t>
      </w:r>
    </w:p>
    <w:p w14:paraId="7346EBC7">
      <w:pPr>
        <w:pStyle w:val="84"/>
      </w:pPr>
      <w:bookmarkStart w:id="1730" w:name="_Ref185349540"/>
      <w:r>
        <w:rPr>
          <w:rStyle w:val="72"/>
        </w:rPr>
        <w:t>Таблица</w:t>
      </w:r>
      <w:r>
        <w:t xml:space="preserve"> </w:t>
      </w:r>
      <w:r>
        <w:fldChar w:fldCharType="begin"/>
      </w:r>
      <w:r>
        <w:instrText xml:space="preserve"> SEQ Таблица \* ARABIC </w:instrText>
      </w:r>
      <w:r>
        <w:fldChar w:fldCharType="separate"/>
      </w:r>
      <w:r>
        <w:t>2</w:t>
      </w:r>
      <w:r>
        <w:fldChar w:fldCharType="end"/>
      </w:r>
      <w:bookmarkEnd w:id="1730"/>
      <w:r>
        <w:t xml:space="preserve"> —Параметры фильтрации по Приказу 108н</w:t>
      </w:r>
    </w:p>
    <w:tbl>
      <w:tblPr>
        <w:tblStyle w:val="3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18"/>
        <w:gridCol w:w="8033"/>
      </w:tblGrid>
      <w:tr w14:paraId="2F25A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881" w:type="pct"/>
            <w:tcBorders>
              <w:bottom w:val="double" w:color="auto" w:sz="4" w:space="0"/>
            </w:tcBorders>
          </w:tcPr>
          <w:p w14:paraId="02D01780">
            <w:pPr>
              <w:pStyle w:val="106"/>
            </w:pPr>
            <w:r>
              <w:t>Параметр фильтра</w:t>
            </w:r>
          </w:p>
        </w:tc>
        <w:tc>
          <w:tcPr>
            <w:tcW w:w="4119" w:type="pct"/>
            <w:tcBorders>
              <w:bottom w:val="double" w:color="auto" w:sz="4" w:space="0"/>
            </w:tcBorders>
          </w:tcPr>
          <w:p w14:paraId="042233B0">
            <w:pPr>
              <w:pStyle w:val="106"/>
            </w:pPr>
            <w:r>
              <w:t>Вид сведений в составе СЭФД</w:t>
            </w:r>
          </w:p>
        </w:tc>
      </w:tr>
      <w:tr w14:paraId="4DD0E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881" w:type="pct"/>
            <w:tcBorders>
              <w:top w:val="double" w:color="auto" w:sz="4" w:space="0"/>
            </w:tcBorders>
          </w:tcPr>
          <w:p w14:paraId="5225CBB7">
            <w:pPr>
              <w:pStyle w:val="80"/>
            </w:pPr>
            <w:r>
              <w:t>263 пункт В</w:t>
            </w:r>
          </w:p>
        </w:tc>
        <w:tc>
          <w:tcPr>
            <w:tcW w:w="4119" w:type="pct"/>
            <w:tcBorders>
              <w:top w:val="double" w:color="auto" w:sz="4" w:space="0"/>
            </w:tcBorders>
          </w:tcPr>
          <w:p w14:paraId="0F04FFAA">
            <w:pPr>
              <w:pStyle w:val="80"/>
            </w:pPr>
            <w:r>
              <w:t>Сведения о застрахованных лицах, госпитализированных за день по направлениям, в том числе на оказание высокотехнологичной медицинской помощи в плановом порядке в разрезе профилей (отделений) медицинской помощи (в том числе в разрезе медицинских организаций, направивших застрахованное лицо на госпитализацию)</w:t>
            </w:r>
          </w:p>
        </w:tc>
      </w:tr>
      <w:tr w14:paraId="35BBF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881" w:type="pct"/>
          </w:tcPr>
          <w:p w14:paraId="621B9993">
            <w:pPr>
              <w:pStyle w:val="80"/>
            </w:pPr>
            <w:r>
              <w:t>263 пункт Г</w:t>
            </w:r>
          </w:p>
        </w:tc>
        <w:tc>
          <w:tcPr>
            <w:tcW w:w="4119" w:type="pct"/>
          </w:tcPr>
          <w:p w14:paraId="57DF89F2">
            <w:pPr>
              <w:pStyle w:val="80"/>
            </w:pPr>
            <w:r>
              <w:t>Сведения о застрахованных лицах, госпитализированных в экстренном порядке и выписанных после экстренных госпитализаций в разрезе профилей (отделений) медицинской помощи</w:t>
            </w:r>
          </w:p>
        </w:tc>
      </w:tr>
      <w:tr w14:paraId="4C540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881" w:type="pct"/>
          </w:tcPr>
          <w:p w14:paraId="072CF2CD">
            <w:pPr>
              <w:pStyle w:val="80"/>
            </w:pPr>
            <w:r>
              <w:t>263 пункт Д</w:t>
            </w:r>
          </w:p>
        </w:tc>
        <w:tc>
          <w:tcPr>
            <w:tcW w:w="4119" w:type="pct"/>
          </w:tcPr>
          <w:p w14:paraId="626B6023">
            <w:pPr>
              <w:pStyle w:val="80"/>
            </w:pPr>
            <w:r>
              <w:t>Сведения о застрахованных лицах, в отношении которых не состоялась запланированная госпитализация, в том числе из-за отсутствия медицинских показаний</w:t>
            </w:r>
          </w:p>
        </w:tc>
      </w:tr>
      <w:tr w14:paraId="2EDCA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881" w:type="pct"/>
          </w:tcPr>
          <w:p w14:paraId="4F44B0CC">
            <w:pPr>
              <w:pStyle w:val="80"/>
            </w:pPr>
            <w:r>
              <w:t>263 пункт Е</w:t>
            </w:r>
          </w:p>
        </w:tc>
        <w:tc>
          <w:tcPr>
            <w:tcW w:w="4119" w:type="pct"/>
          </w:tcPr>
          <w:p w14:paraId="193F5CED">
            <w:pPr>
              <w:pStyle w:val="80"/>
            </w:pPr>
            <w:r>
              <w:t>Сведения о застрахованных лицах, получивших направление в выбранную медицинскую организацию на госпитализацию в разрезе профилей (отделений) медицинской помощи, включая дату госпитализации</w:t>
            </w:r>
          </w:p>
        </w:tc>
      </w:tr>
      <w:tr w14:paraId="51181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881" w:type="pct"/>
          </w:tcPr>
          <w:p w14:paraId="6256863E">
            <w:pPr>
              <w:pStyle w:val="80"/>
            </w:pPr>
            <w:r>
              <w:t>264</w:t>
            </w:r>
          </w:p>
        </w:tc>
        <w:tc>
          <w:tcPr>
            <w:tcW w:w="4119" w:type="pct"/>
          </w:tcPr>
          <w:p w14:paraId="2C68F1FC">
            <w:pPr>
              <w:pStyle w:val="80"/>
            </w:pPr>
            <w:r>
              <w:t>Сведения о застрахованных лицах за истекшие сутки, получивших направление в медицинскую организацию на госпитализацию в разрезе профилей (отделений) медицинской помощи, включая дату госпитализации и дату выписки</w:t>
            </w:r>
          </w:p>
        </w:tc>
      </w:tr>
    </w:tbl>
    <w:p w14:paraId="23E5EEC1">
      <w:pPr>
        <w:pStyle w:val="69"/>
      </w:pPr>
    </w:p>
    <w:p w14:paraId="470534FC">
      <w:pPr>
        <w:pStyle w:val="69"/>
      </w:pPr>
      <w:r>
        <w:t xml:space="preserve">Для поиска и просмотра сведений необходимо в блоке «Приказ 108» панели фильтрации задать параметры поиска, выбрав значение в раскрывающемся списке (рис. </w:t>
      </w:r>
      <w:r>
        <w:fldChar w:fldCharType="begin"/>
      </w:r>
      <w:r>
        <w:instrText xml:space="preserve"> REF  _Ref143804653 \h\#\0   \* MERGEFORMAT </w:instrText>
      </w:r>
      <w:r>
        <w:fldChar w:fldCharType="separate"/>
      </w:r>
      <w:r>
        <w:t>83</w:t>
      </w:r>
      <w:r>
        <w:fldChar w:fldCharType="end"/>
      </w:r>
      <w:r>
        <w:t>), и нажать кнопку «Найти».</w:t>
      </w:r>
    </w:p>
    <w:p w14:paraId="2DCE7D57">
      <w:pPr>
        <w:pStyle w:val="73"/>
      </w:pPr>
      <w:r>
        <w:drawing>
          <wp:inline distT="0" distB="0" distL="0" distR="0">
            <wp:extent cx="1943735" cy="5922010"/>
            <wp:effectExtent l="19050" t="19050" r="18415" b="21590"/>
            <wp:docPr id="3287437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743771" name="Рисунок 1"/>
                    <pic:cNvPicPr>
                      <a:picLocks noChangeAspect="1"/>
                    </pic:cNvPicPr>
                  </pic:nvPicPr>
                  <pic:blipFill>
                    <a:blip r:embed="rId110"/>
                    <a:stretch>
                      <a:fillRect/>
                    </a:stretch>
                  </pic:blipFill>
                  <pic:spPr>
                    <a:xfrm>
                      <a:off x="0" y="0"/>
                      <a:ext cx="1952187" cy="5947359"/>
                    </a:xfrm>
                    <a:prstGeom prst="rect">
                      <a:avLst/>
                    </a:prstGeom>
                    <a:ln w="3175" cmpd="sng">
                      <a:solidFill>
                        <a:srgbClr val="000000"/>
                      </a:solidFill>
                    </a:ln>
                  </pic:spPr>
                </pic:pic>
              </a:graphicData>
            </a:graphic>
          </wp:inline>
        </w:drawing>
      </w:r>
    </w:p>
    <w:p w14:paraId="65AB4B9E">
      <w:pPr>
        <w:pStyle w:val="74"/>
      </w:pPr>
      <w:r>
        <w:t xml:space="preserve">Рисунок </w:t>
      </w:r>
      <w:r>
        <w:fldChar w:fldCharType="begin"/>
      </w:r>
      <w:r>
        <w:instrText xml:space="preserve"> SEQ Рисунок \* ARABIC </w:instrText>
      </w:r>
      <w:r>
        <w:fldChar w:fldCharType="separate"/>
      </w:r>
      <w:r>
        <w:t>80</w:t>
      </w:r>
      <w:r>
        <w:fldChar w:fldCharType="end"/>
      </w:r>
      <w:r>
        <w:t xml:space="preserve"> — Реестр СЭФД. Блок фильтра «Приказ 108н»</w:t>
      </w:r>
    </w:p>
    <w:p w14:paraId="7780E481">
      <w:pPr>
        <w:pStyle w:val="69"/>
      </w:pPr>
      <w:r>
        <w:t>После нажатия кнопки «Найти» в рабочей области «Реестр СЭФД» отобразится список СЭФД, содержащих сведения, удовлетворяющие поисковому запросу.</w:t>
      </w:r>
    </w:p>
    <w:p w14:paraId="26CB2F96">
      <w:pPr>
        <w:pStyle w:val="69"/>
      </w:pPr>
      <w:r>
        <w:t xml:space="preserve">Просмотреть сведения о медицинской помощи, оказанной застрахованному лицу можно в карточке СЭФД. Для перехода в карточку СЭФД необходимо выбрать соответствующую запись в «Реестре СЭФД» </w:t>
      </w:r>
      <w:bookmarkStart w:id="1731" w:name="_Hlk206124925"/>
      <w:bookmarkStart w:id="1732" w:name="_Hlk206012204"/>
      <w:r>
        <w:t>и дважды нажать на строку записи</w:t>
      </w:r>
      <w:bookmarkEnd w:id="1731"/>
      <w:r>
        <w:t>.</w:t>
      </w:r>
      <w:bookmarkEnd w:id="1732"/>
    </w:p>
    <w:p w14:paraId="352019A3">
      <w:pPr>
        <w:pStyle w:val="60"/>
      </w:pPr>
      <w:bookmarkStart w:id="1733" w:name="_Ref225530879"/>
      <w:bookmarkStart w:id="1734" w:name="_Ref225766745"/>
      <w:bookmarkStart w:id="1735" w:name="_Toc225866342"/>
      <w:bookmarkStart w:id="1736" w:name="_Toc225788009"/>
      <w:r>
        <w:t xml:space="preserve">Просмотр сведений о расчете стоимости </w:t>
      </w:r>
      <w:bookmarkEnd w:id="1733"/>
      <w:r>
        <w:t>СЭФД</w:t>
      </w:r>
      <w:bookmarkEnd w:id="1734"/>
      <w:bookmarkEnd w:id="1735"/>
      <w:bookmarkEnd w:id="1736"/>
    </w:p>
    <w:p w14:paraId="2B84650C">
      <w:pPr>
        <w:pStyle w:val="69"/>
      </w:pPr>
      <w:r>
        <w:t xml:space="preserve">Детальные сведения о расчете стоимости СЭФД представлены на вкладке «Детализация расчета» в СЭФД в виде формулы расчета, используемых значений параметров расчета и рассчитанной стоимости СЭФД (рис. </w:t>
      </w:r>
      <w:r>
        <w:fldChar w:fldCharType="begin"/>
      </w:r>
      <w:r>
        <w:instrText xml:space="preserve"> REF  _Ref225530675 \h \t \#\0 \* MERGEFORMAT </w:instrText>
      </w:r>
      <w:r>
        <w:fldChar w:fldCharType="separate"/>
      </w:r>
      <w:r>
        <w:t>81</w:t>
      </w:r>
      <w:r>
        <w:fldChar w:fldCharType="end"/>
      </w:r>
      <w:r>
        <w:t>).</w:t>
      </w:r>
    </w:p>
    <w:p w14:paraId="1125473E">
      <w:pPr>
        <w:pStyle w:val="73"/>
      </w:pPr>
      <w:r>
        <w:drawing>
          <wp:inline distT="0" distB="0" distL="0" distR="0">
            <wp:extent cx="6119495" cy="2696210"/>
            <wp:effectExtent l="19050" t="19050" r="14605" b="27940"/>
            <wp:docPr id="376244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4428" name="Рисунок 1"/>
                    <pic:cNvPicPr>
                      <a:picLocks noChangeAspect="1"/>
                    </pic:cNvPicPr>
                  </pic:nvPicPr>
                  <pic:blipFill>
                    <a:blip r:embed="rId111"/>
                    <a:stretch>
                      <a:fillRect/>
                    </a:stretch>
                  </pic:blipFill>
                  <pic:spPr>
                    <a:xfrm>
                      <a:off x="0" y="0"/>
                      <a:ext cx="6119495" cy="2696210"/>
                    </a:xfrm>
                    <a:prstGeom prst="rect">
                      <a:avLst/>
                    </a:prstGeom>
                    <a:ln w="3175" cmpd="sng">
                      <a:solidFill>
                        <a:srgbClr val="000000"/>
                      </a:solidFill>
                    </a:ln>
                  </pic:spPr>
                </pic:pic>
              </a:graphicData>
            </a:graphic>
          </wp:inline>
        </w:drawing>
      </w:r>
    </w:p>
    <w:p w14:paraId="5E2ACCBE">
      <w:pPr>
        <w:pStyle w:val="74"/>
      </w:pPr>
      <w:bookmarkStart w:id="1737" w:name="_Ref225530675"/>
      <w:r>
        <w:t xml:space="preserve">Рисунок </w:t>
      </w:r>
      <w:r>
        <w:fldChar w:fldCharType="begin"/>
      </w:r>
      <w:r>
        <w:instrText xml:space="preserve"> SEQ Рисунок \* ARABIC </w:instrText>
      </w:r>
      <w:r>
        <w:fldChar w:fldCharType="separate"/>
      </w:r>
      <w:r>
        <w:t>81</w:t>
      </w:r>
      <w:r>
        <w:fldChar w:fldCharType="end"/>
      </w:r>
      <w:bookmarkEnd w:id="1737"/>
      <w:r>
        <w:t xml:space="preserve"> — Просмотр данных СЭФД. Вкладка «Детализация расчета»</w:t>
      </w:r>
    </w:p>
    <w:p w14:paraId="2AFD9035">
      <w:pPr>
        <w:pStyle w:val="69"/>
      </w:pPr>
      <w:r>
        <w:t xml:space="preserve">При наведении указателя на параметр в формуле расчета во всплывающей подсказке приводится полное название параметра (рис. </w:t>
      </w:r>
      <w:r>
        <w:fldChar w:fldCharType="begin"/>
      </w:r>
      <w:r>
        <w:instrText xml:space="preserve"> REF  _Ref225530685 \h \t \#\0 \* MERGEFORMAT </w:instrText>
      </w:r>
      <w:r>
        <w:fldChar w:fldCharType="separate"/>
      </w:r>
      <w:r>
        <w:t>82</w:t>
      </w:r>
      <w:r>
        <w:fldChar w:fldCharType="end"/>
      </w:r>
      <w:r>
        <w:t>).</w:t>
      </w:r>
    </w:p>
    <w:p w14:paraId="5C920C68">
      <w:pPr>
        <w:pStyle w:val="73"/>
      </w:pPr>
      <w:r>
        <w:drawing>
          <wp:inline distT="0" distB="0" distL="0" distR="0">
            <wp:extent cx="4667885" cy="1028700"/>
            <wp:effectExtent l="19050" t="19050" r="18415" b="19050"/>
            <wp:docPr id="6610853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085343" name="Рисунок 1"/>
                    <pic:cNvPicPr>
                      <a:picLocks noChangeAspect="1"/>
                    </pic:cNvPicPr>
                  </pic:nvPicPr>
                  <pic:blipFill>
                    <a:blip r:embed="rId112"/>
                    <a:stretch>
                      <a:fillRect/>
                    </a:stretch>
                  </pic:blipFill>
                  <pic:spPr>
                    <a:xfrm>
                      <a:off x="0" y="0"/>
                      <a:ext cx="4667901" cy="1028844"/>
                    </a:xfrm>
                    <a:prstGeom prst="rect">
                      <a:avLst/>
                    </a:prstGeom>
                    <a:ln w="3175" cmpd="sng">
                      <a:solidFill>
                        <a:srgbClr val="000000"/>
                      </a:solidFill>
                    </a:ln>
                  </pic:spPr>
                </pic:pic>
              </a:graphicData>
            </a:graphic>
          </wp:inline>
        </w:drawing>
      </w:r>
    </w:p>
    <w:p w14:paraId="69F2D2BC">
      <w:pPr>
        <w:pStyle w:val="74"/>
      </w:pPr>
      <w:bookmarkStart w:id="1738" w:name="_Ref225530685"/>
      <w:r>
        <w:t xml:space="preserve">Рисунок </w:t>
      </w:r>
      <w:r>
        <w:fldChar w:fldCharType="begin"/>
      </w:r>
      <w:r>
        <w:instrText xml:space="preserve"> SEQ Рисунок \* ARABIC </w:instrText>
      </w:r>
      <w:r>
        <w:fldChar w:fldCharType="separate"/>
      </w:r>
      <w:r>
        <w:t>82</w:t>
      </w:r>
      <w:r>
        <w:fldChar w:fldCharType="end"/>
      </w:r>
      <w:bookmarkEnd w:id="1738"/>
      <w:r>
        <w:t xml:space="preserve"> — Расшифровка названия параметра в формуле расчета стоимости СЭФД</w:t>
      </w:r>
    </w:p>
    <w:bookmarkEnd w:id="1674"/>
    <w:bookmarkEnd w:id="1722"/>
    <w:p w14:paraId="3A7F8F3B">
      <w:pPr>
        <w:pStyle w:val="58"/>
      </w:pPr>
      <w:bookmarkStart w:id="1739" w:name="_Toc158722233"/>
      <w:bookmarkEnd w:id="1739"/>
      <w:bookmarkStart w:id="1740" w:name="_Toc158722232"/>
      <w:bookmarkEnd w:id="1740"/>
      <w:bookmarkStart w:id="1741" w:name="_Toc158719663"/>
      <w:bookmarkEnd w:id="1741"/>
      <w:bookmarkStart w:id="1742" w:name="_Toc158722963"/>
      <w:bookmarkEnd w:id="1742"/>
      <w:bookmarkStart w:id="1743" w:name="_Toc158734209"/>
      <w:bookmarkEnd w:id="1743"/>
      <w:bookmarkStart w:id="1744" w:name="_Toc158734208"/>
      <w:bookmarkEnd w:id="1744"/>
      <w:bookmarkStart w:id="1745" w:name="_Toc158722962"/>
      <w:bookmarkEnd w:id="1745"/>
      <w:bookmarkStart w:id="1746" w:name="_Toc162361864"/>
      <w:bookmarkEnd w:id="1746"/>
      <w:bookmarkStart w:id="1747" w:name="_Toc162359777"/>
      <w:bookmarkEnd w:id="1747"/>
      <w:bookmarkStart w:id="1748" w:name="_Toc158720395"/>
      <w:bookmarkEnd w:id="1748"/>
      <w:bookmarkStart w:id="1749" w:name="_Toc158721498"/>
      <w:bookmarkEnd w:id="1749"/>
      <w:bookmarkStart w:id="1750" w:name="_Toc158721499"/>
      <w:bookmarkEnd w:id="1750"/>
      <w:bookmarkStart w:id="1751" w:name="_Toc158722960"/>
      <w:bookmarkEnd w:id="1751"/>
      <w:bookmarkStart w:id="1752" w:name="_Toc158734206"/>
      <w:bookmarkEnd w:id="1752"/>
      <w:bookmarkStart w:id="1753" w:name="_Toc158720393"/>
      <w:bookmarkEnd w:id="1753"/>
      <w:bookmarkStart w:id="1754" w:name="_Toc158721497"/>
      <w:bookmarkEnd w:id="1754"/>
      <w:bookmarkStart w:id="1755" w:name="_Toc162361862"/>
      <w:bookmarkEnd w:id="1755"/>
      <w:bookmarkStart w:id="1756" w:name="_Toc162359775"/>
      <w:bookmarkEnd w:id="1756"/>
      <w:bookmarkStart w:id="1757" w:name="_Toc158719661"/>
      <w:bookmarkEnd w:id="1757"/>
      <w:bookmarkStart w:id="1758" w:name="_Toc158722231"/>
      <w:bookmarkEnd w:id="1758"/>
      <w:bookmarkStart w:id="1759" w:name="_Toc158722961"/>
      <w:bookmarkEnd w:id="1759"/>
      <w:bookmarkStart w:id="1760" w:name="_Toc158734207"/>
      <w:bookmarkEnd w:id="1760"/>
      <w:bookmarkStart w:id="1761" w:name="_Toc162359776"/>
      <w:bookmarkEnd w:id="1761"/>
      <w:bookmarkStart w:id="1762" w:name="_Toc162361863"/>
      <w:bookmarkEnd w:id="1762"/>
      <w:bookmarkStart w:id="1763" w:name="_Toc158720394"/>
      <w:bookmarkEnd w:id="1763"/>
      <w:bookmarkStart w:id="1764" w:name="_Toc158719662"/>
      <w:bookmarkEnd w:id="1764"/>
      <w:bookmarkStart w:id="1765" w:name="_Toc158719664"/>
      <w:bookmarkEnd w:id="1765"/>
      <w:bookmarkStart w:id="1766" w:name="_Toc158720396"/>
      <w:bookmarkEnd w:id="1766"/>
      <w:bookmarkStart w:id="1767" w:name="_Toc162361865"/>
      <w:bookmarkEnd w:id="1767"/>
      <w:bookmarkStart w:id="1768" w:name="_Toc158721500"/>
      <w:bookmarkEnd w:id="1768"/>
      <w:bookmarkStart w:id="1769" w:name="_Toc158722964"/>
      <w:bookmarkEnd w:id="1769"/>
      <w:bookmarkStart w:id="1770" w:name="_Toc158734210"/>
      <w:bookmarkEnd w:id="1770"/>
      <w:bookmarkStart w:id="1771" w:name="_Toc158722234"/>
      <w:bookmarkEnd w:id="1771"/>
      <w:bookmarkStart w:id="1772" w:name="_Toc162359778"/>
      <w:bookmarkEnd w:id="1772"/>
      <w:bookmarkStart w:id="1773" w:name="_Toc162361859"/>
      <w:bookmarkEnd w:id="1773"/>
      <w:bookmarkStart w:id="1774" w:name="_Toc158719658"/>
      <w:bookmarkEnd w:id="1774"/>
      <w:bookmarkStart w:id="1775" w:name="_Toc158722958"/>
      <w:bookmarkEnd w:id="1775"/>
      <w:bookmarkStart w:id="1776" w:name="_Toc158720390"/>
      <w:bookmarkEnd w:id="1776"/>
      <w:bookmarkStart w:id="1777" w:name="_Toc158721494"/>
      <w:bookmarkEnd w:id="1777"/>
      <w:bookmarkStart w:id="1778" w:name="_Toc158722228"/>
      <w:bookmarkEnd w:id="1778"/>
      <w:bookmarkStart w:id="1779" w:name="_Toc158734204"/>
      <w:bookmarkEnd w:id="1779"/>
      <w:bookmarkStart w:id="1780" w:name="_Toc162361861"/>
      <w:bookmarkEnd w:id="1780"/>
      <w:bookmarkStart w:id="1781" w:name="_Toc162361860"/>
      <w:bookmarkEnd w:id="1781"/>
      <w:bookmarkStart w:id="1782" w:name="_Toc158719659"/>
      <w:bookmarkEnd w:id="1782"/>
      <w:bookmarkStart w:id="1783" w:name="_Toc158719660"/>
      <w:bookmarkEnd w:id="1783"/>
      <w:bookmarkStart w:id="1784" w:name="_Toc158722229"/>
      <w:bookmarkEnd w:id="1784"/>
      <w:bookmarkStart w:id="1785" w:name="_Toc158722959"/>
      <w:bookmarkEnd w:id="1785"/>
      <w:bookmarkStart w:id="1786" w:name="_Toc158734205"/>
      <w:bookmarkEnd w:id="1786"/>
      <w:bookmarkStart w:id="1787" w:name="_Toc162359774"/>
      <w:bookmarkEnd w:id="1787"/>
      <w:bookmarkStart w:id="1788" w:name="_Toc158720392"/>
      <w:bookmarkEnd w:id="1788"/>
      <w:bookmarkStart w:id="1789" w:name="_Toc162359773"/>
      <w:bookmarkEnd w:id="1789"/>
      <w:bookmarkStart w:id="1790" w:name="_Toc158720391"/>
      <w:bookmarkEnd w:id="1790"/>
      <w:bookmarkStart w:id="1791" w:name="_Toc158721495"/>
      <w:bookmarkEnd w:id="1791"/>
      <w:bookmarkStart w:id="1792" w:name="_Toc158721496"/>
      <w:bookmarkEnd w:id="1792"/>
      <w:bookmarkStart w:id="1793" w:name="_Toc158722230"/>
      <w:bookmarkEnd w:id="1793"/>
      <w:bookmarkStart w:id="1794" w:name="_Toc162359772"/>
      <w:bookmarkEnd w:id="1794"/>
      <w:bookmarkStart w:id="1795" w:name="_Toc158722205"/>
      <w:bookmarkEnd w:id="1795"/>
      <w:bookmarkStart w:id="1796" w:name="_Toc158734181"/>
      <w:bookmarkEnd w:id="1796"/>
      <w:bookmarkStart w:id="1797" w:name="_Toc162359750"/>
      <w:bookmarkEnd w:id="1797"/>
      <w:bookmarkStart w:id="1798" w:name="_Toc158719636"/>
      <w:bookmarkEnd w:id="1798"/>
      <w:bookmarkStart w:id="1799" w:name="_Toc158722935"/>
      <w:bookmarkEnd w:id="1799"/>
      <w:bookmarkStart w:id="1800" w:name="_Toc162361837"/>
      <w:bookmarkEnd w:id="1800"/>
      <w:bookmarkStart w:id="1801" w:name="_Toc158720368"/>
      <w:bookmarkEnd w:id="1801"/>
      <w:bookmarkStart w:id="1802" w:name="_Toc158721471"/>
      <w:bookmarkEnd w:id="1802"/>
      <w:bookmarkStart w:id="1803" w:name="_Toc158719637"/>
      <w:bookmarkEnd w:id="1803"/>
      <w:bookmarkStart w:id="1804" w:name="_Toc158734186"/>
      <w:bookmarkEnd w:id="1804"/>
      <w:bookmarkStart w:id="1805" w:name="_Toc158722936"/>
      <w:bookmarkEnd w:id="1805"/>
      <w:bookmarkStart w:id="1806" w:name="_Toc158722208"/>
      <w:bookmarkEnd w:id="1806"/>
      <w:bookmarkStart w:id="1807" w:name="_Toc158720374"/>
      <w:bookmarkEnd w:id="1807"/>
      <w:bookmarkStart w:id="1808" w:name="_Toc158721478"/>
      <w:bookmarkEnd w:id="1808"/>
      <w:bookmarkStart w:id="1809" w:name="_Toc158734188"/>
      <w:bookmarkEnd w:id="1809"/>
      <w:bookmarkStart w:id="1810" w:name="_Toc158722213"/>
      <w:bookmarkEnd w:id="1810"/>
      <w:bookmarkStart w:id="1811" w:name="_Toc158734182"/>
      <w:bookmarkEnd w:id="1811"/>
      <w:bookmarkStart w:id="1812" w:name="_Toc158720369"/>
      <w:bookmarkEnd w:id="1812"/>
      <w:bookmarkStart w:id="1813" w:name="_Toc158722937"/>
      <w:bookmarkEnd w:id="1813"/>
      <w:bookmarkStart w:id="1814" w:name="_Toc162359751"/>
      <w:bookmarkEnd w:id="1814"/>
      <w:bookmarkStart w:id="1815" w:name="_Toc158721475"/>
      <w:bookmarkEnd w:id="1815"/>
      <w:bookmarkStart w:id="1816" w:name="_Toc158722209"/>
      <w:bookmarkEnd w:id="1816"/>
      <w:bookmarkStart w:id="1817" w:name="_Toc162359754"/>
      <w:bookmarkEnd w:id="1817"/>
      <w:bookmarkStart w:id="1818" w:name="_Toc158722941"/>
      <w:bookmarkEnd w:id="1818"/>
      <w:bookmarkStart w:id="1819" w:name="_Toc158719638"/>
      <w:bookmarkEnd w:id="1819"/>
      <w:bookmarkStart w:id="1820" w:name="_Toc158720370"/>
      <w:bookmarkEnd w:id="1820"/>
      <w:bookmarkStart w:id="1821" w:name="_Toc162359753"/>
      <w:bookmarkEnd w:id="1821"/>
      <w:bookmarkStart w:id="1822" w:name="_Toc162361841"/>
      <w:bookmarkEnd w:id="1822"/>
      <w:bookmarkStart w:id="1823" w:name="_Toc158722942"/>
      <w:bookmarkEnd w:id="1823"/>
      <w:bookmarkStart w:id="1824" w:name="_Toc158719643"/>
      <w:bookmarkEnd w:id="1824"/>
      <w:bookmarkStart w:id="1825" w:name="_Toc158721479"/>
      <w:bookmarkEnd w:id="1825"/>
      <w:bookmarkStart w:id="1826" w:name="_Toc158720372"/>
      <w:bookmarkEnd w:id="1826"/>
      <w:bookmarkStart w:id="1827" w:name="_Toc158734183"/>
      <w:bookmarkEnd w:id="1827"/>
      <w:bookmarkStart w:id="1828" w:name="_Toc158719639"/>
      <w:bookmarkEnd w:id="1828"/>
      <w:bookmarkStart w:id="1829" w:name="_Toc158722207"/>
      <w:bookmarkEnd w:id="1829"/>
      <w:bookmarkStart w:id="1830" w:name="_Toc158721474"/>
      <w:bookmarkEnd w:id="1830"/>
      <w:bookmarkStart w:id="1831" w:name="_Toc158722938"/>
      <w:bookmarkEnd w:id="1831"/>
      <w:bookmarkStart w:id="1832" w:name="_Toc158722943"/>
      <w:bookmarkEnd w:id="1832"/>
      <w:bookmarkStart w:id="1833" w:name="_Toc162361842"/>
      <w:bookmarkEnd w:id="1833"/>
      <w:bookmarkStart w:id="1834" w:name="_Toc158719640"/>
      <w:bookmarkEnd w:id="1834"/>
      <w:bookmarkStart w:id="1835" w:name="_Toc158722940"/>
      <w:bookmarkEnd w:id="1835"/>
      <w:bookmarkStart w:id="1836" w:name="_Toc158721473"/>
      <w:bookmarkEnd w:id="1836"/>
      <w:bookmarkStart w:id="1837" w:name="_Toc158734185"/>
      <w:bookmarkEnd w:id="1837"/>
      <w:bookmarkStart w:id="1838" w:name="_Toc158722206"/>
      <w:bookmarkEnd w:id="1838"/>
      <w:bookmarkStart w:id="1839" w:name="_Toc162359757"/>
      <w:bookmarkEnd w:id="1839"/>
      <w:bookmarkStart w:id="1840" w:name="_Toc162361840"/>
      <w:bookmarkEnd w:id="1840"/>
      <w:bookmarkStart w:id="1841" w:name="_Toc158720371"/>
      <w:bookmarkEnd w:id="1841"/>
      <w:bookmarkStart w:id="1842" w:name="_Toc162361843"/>
      <w:bookmarkEnd w:id="1842"/>
      <w:bookmarkStart w:id="1843" w:name="_Toc158734187"/>
      <w:bookmarkEnd w:id="1843"/>
      <w:bookmarkStart w:id="1844" w:name="_Toc158720375"/>
      <w:bookmarkEnd w:id="1844"/>
      <w:bookmarkStart w:id="1845" w:name="_Toc158721477"/>
      <w:bookmarkEnd w:id="1845"/>
      <w:bookmarkStart w:id="1846" w:name="_Toc158734189"/>
      <w:bookmarkEnd w:id="1846"/>
      <w:bookmarkStart w:id="1847" w:name="_Toc162359756"/>
      <w:bookmarkEnd w:id="1847"/>
      <w:bookmarkStart w:id="1848" w:name="_Toc162359758"/>
      <w:bookmarkEnd w:id="1848"/>
      <w:bookmarkStart w:id="1849" w:name="_Toc162361845"/>
      <w:bookmarkEnd w:id="1849"/>
      <w:bookmarkStart w:id="1850" w:name="_Toc158719644"/>
      <w:bookmarkEnd w:id="1850"/>
      <w:bookmarkStart w:id="1851" w:name="_Toc158720376"/>
      <w:bookmarkEnd w:id="1851"/>
      <w:bookmarkStart w:id="1852" w:name="_Toc158719641"/>
      <w:bookmarkEnd w:id="1852"/>
      <w:bookmarkStart w:id="1853" w:name="_Toc158722212"/>
      <w:bookmarkEnd w:id="1853"/>
      <w:bookmarkStart w:id="1854" w:name="_Toc162361839"/>
      <w:bookmarkEnd w:id="1854"/>
      <w:bookmarkStart w:id="1855" w:name="_Toc158721476"/>
      <w:bookmarkEnd w:id="1855"/>
      <w:bookmarkStart w:id="1856" w:name="_Toc162361844"/>
      <w:bookmarkEnd w:id="1856"/>
      <w:bookmarkStart w:id="1857" w:name="_Toc162361838"/>
      <w:bookmarkEnd w:id="1857"/>
      <w:bookmarkStart w:id="1858" w:name="_Toc158734184"/>
      <w:bookmarkEnd w:id="1858"/>
      <w:bookmarkStart w:id="1859" w:name="_Toc162359755"/>
      <w:bookmarkEnd w:id="1859"/>
      <w:bookmarkStart w:id="1860" w:name="_Toc158722939"/>
      <w:bookmarkEnd w:id="1860"/>
      <w:bookmarkStart w:id="1861" w:name="_Toc158722210"/>
      <w:bookmarkEnd w:id="1861"/>
      <w:bookmarkStart w:id="1862" w:name="_Toc158720373"/>
      <w:bookmarkEnd w:id="1862"/>
      <w:bookmarkStart w:id="1863" w:name="_Toc162359752"/>
      <w:bookmarkEnd w:id="1863"/>
      <w:bookmarkStart w:id="1864" w:name="_Toc158721472"/>
      <w:bookmarkEnd w:id="1864"/>
      <w:bookmarkStart w:id="1865" w:name="_Toc158722211"/>
      <w:bookmarkEnd w:id="1865"/>
      <w:bookmarkStart w:id="1866" w:name="_Toc158719642"/>
      <w:bookmarkEnd w:id="1866"/>
      <w:bookmarkStart w:id="1867" w:name="_Toc162359762"/>
      <w:bookmarkEnd w:id="1867"/>
      <w:bookmarkStart w:id="1868" w:name="_Toc162359766"/>
      <w:bookmarkEnd w:id="1868"/>
      <w:bookmarkStart w:id="1869" w:name="_Toc158734191"/>
      <w:bookmarkEnd w:id="1869"/>
      <w:bookmarkStart w:id="1870" w:name="_Toc158721483"/>
      <w:bookmarkEnd w:id="1870"/>
      <w:bookmarkStart w:id="1871" w:name="_Toc158734195"/>
      <w:bookmarkEnd w:id="1871"/>
      <w:bookmarkStart w:id="1872" w:name="_Toc158721487"/>
      <w:bookmarkEnd w:id="1872"/>
      <w:bookmarkStart w:id="1873" w:name="_Toc162361846"/>
      <w:bookmarkEnd w:id="1873"/>
      <w:bookmarkStart w:id="1874" w:name="_Toc158721481"/>
      <w:bookmarkEnd w:id="1874"/>
      <w:bookmarkStart w:id="1875" w:name="_Toc158722215"/>
      <w:bookmarkEnd w:id="1875"/>
      <w:bookmarkStart w:id="1876" w:name="_Toc158722214"/>
      <w:bookmarkEnd w:id="1876"/>
      <w:bookmarkStart w:id="1877" w:name="_Toc158722216"/>
      <w:bookmarkEnd w:id="1877"/>
      <w:bookmarkStart w:id="1878" w:name="_Toc162361848"/>
      <w:bookmarkEnd w:id="1878"/>
      <w:bookmarkStart w:id="1879" w:name="_Toc158722217"/>
      <w:bookmarkEnd w:id="1879"/>
      <w:bookmarkStart w:id="1880" w:name="_Toc158722947"/>
      <w:bookmarkEnd w:id="1880"/>
      <w:bookmarkStart w:id="1881" w:name="_Toc158734190"/>
      <w:bookmarkEnd w:id="1881"/>
      <w:bookmarkStart w:id="1882" w:name="_Toc158734192"/>
      <w:bookmarkEnd w:id="1882"/>
      <w:bookmarkStart w:id="1883" w:name="_Toc158721482"/>
      <w:bookmarkEnd w:id="1883"/>
      <w:bookmarkStart w:id="1884" w:name="_Toc162361849"/>
      <w:bookmarkEnd w:id="1884"/>
      <w:bookmarkStart w:id="1885" w:name="_Toc158734194"/>
      <w:bookmarkEnd w:id="1885"/>
      <w:bookmarkStart w:id="1886" w:name="_Toc162361850"/>
      <w:bookmarkEnd w:id="1886"/>
      <w:bookmarkStart w:id="1887" w:name="_Toc158722948"/>
      <w:bookmarkEnd w:id="1887"/>
      <w:bookmarkStart w:id="1888" w:name="_Toc158721485"/>
      <w:bookmarkEnd w:id="1888"/>
      <w:bookmarkStart w:id="1889" w:name="_Toc158722219"/>
      <w:bookmarkEnd w:id="1889"/>
      <w:bookmarkStart w:id="1890" w:name="_Toc162359761"/>
      <w:bookmarkEnd w:id="1890"/>
      <w:bookmarkStart w:id="1891" w:name="_Toc158721486"/>
      <w:bookmarkEnd w:id="1891"/>
      <w:bookmarkStart w:id="1892" w:name="_Toc158722220"/>
      <w:bookmarkEnd w:id="1892"/>
      <w:bookmarkStart w:id="1893" w:name="_Toc158720380"/>
      <w:bookmarkEnd w:id="1893"/>
      <w:bookmarkStart w:id="1894" w:name="_Toc158734196"/>
      <w:bookmarkEnd w:id="1894"/>
      <w:bookmarkStart w:id="1895" w:name="_Toc162359765"/>
      <w:bookmarkEnd w:id="1895"/>
      <w:bookmarkStart w:id="1896" w:name="_Toc158722218"/>
      <w:bookmarkEnd w:id="1896"/>
      <w:bookmarkStart w:id="1897" w:name="_Toc162361852"/>
      <w:bookmarkEnd w:id="1897"/>
      <w:bookmarkStart w:id="1898" w:name="_Toc162359759"/>
      <w:bookmarkEnd w:id="1898"/>
      <w:bookmarkStart w:id="1899" w:name="_Toc162359763"/>
      <w:bookmarkEnd w:id="1899"/>
      <w:bookmarkStart w:id="1900" w:name="_Toc158719648"/>
      <w:bookmarkEnd w:id="1900"/>
      <w:bookmarkStart w:id="1901" w:name="_Toc158722221"/>
      <w:bookmarkEnd w:id="1901"/>
      <w:bookmarkStart w:id="1902" w:name="_Toc158720379"/>
      <w:bookmarkEnd w:id="1902"/>
      <w:bookmarkStart w:id="1903" w:name="_Toc158720383"/>
      <w:bookmarkEnd w:id="1903"/>
      <w:bookmarkStart w:id="1904" w:name="_Toc158722951"/>
      <w:bookmarkEnd w:id="1904"/>
      <w:bookmarkStart w:id="1905" w:name="_Toc162361847"/>
      <w:bookmarkEnd w:id="1905"/>
      <w:bookmarkStart w:id="1906" w:name="_Toc158720377"/>
      <w:bookmarkEnd w:id="1906"/>
      <w:bookmarkStart w:id="1907" w:name="_Toc158720378"/>
      <w:bookmarkEnd w:id="1907"/>
      <w:bookmarkStart w:id="1908" w:name="_Toc158721480"/>
      <w:bookmarkEnd w:id="1908"/>
      <w:bookmarkStart w:id="1909" w:name="_Toc158722945"/>
      <w:bookmarkEnd w:id="1909"/>
      <w:bookmarkStart w:id="1910" w:name="_Toc158722944"/>
      <w:bookmarkEnd w:id="1910"/>
      <w:bookmarkStart w:id="1911" w:name="_Toc158722946"/>
      <w:bookmarkEnd w:id="1911"/>
      <w:bookmarkStart w:id="1912" w:name="_Toc158720381"/>
      <w:bookmarkEnd w:id="1912"/>
      <w:bookmarkStart w:id="1913" w:name="_Toc158722949"/>
      <w:bookmarkEnd w:id="1913"/>
      <w:bookmarkStart w:id="1914" w:name="_Toc162359760"/>
      <w:bookmarkEnd w:id="1914"/>
      <w:bookmarkStart w:id="1915" w:name="_Toc162359764"/>
      <w:bookmarkEnd w:id="1915"/>
      <w:bookmarkStart w:id="1916" w:name="_Toc158721484"/>
      <w:bookmarkEnd w:id="1916"/>
      <w:bookmarkStart w:id="1917" w:name="_Toc158719646"/>
      <w:bookmarkEnd w:id="1917"/>
      <w:bookmarkStart w:id="1918" w:name="_Toc162361851"/>
      <w:bookmarkEnd w:id="1918"/>
      <w:bookmarkStart w:id="1919" w:name="_Toc158719645"/>
      <w:bookmarkEnd w:id="1919"/>
      <w:bookmarkStart w:id="1920" w:name="_Toc158719649"/>
      <w:bookmarkEnd w:id="1920"/>
      <w:bookmarkStart w:id="1921" w:name="_Toc158734193"/>
      <w:bookmarkEnd w:id="1921"/>
      <w:bookmarkStart w:id="1922" w:name="_Toc158719650"/>
      <w:bookmarkEnd w:id="1922"/>
      <w:bookmarkStart w:id="1923" w:name="_Toc158720382"/>
      <w:bookmarkEnd w:id="1923"/>
      <w:bookmarkStart w:id="1924" w:name="_Toc158722950"/>
      <w:bookmarkEnd w:id="1924"/>
      <w:bookmarkStart w:id="1925" w:name="_Toc158734197"/>
      <w:bookmarkEnd w:id="1925"/>
      <w:bookmarkStart w:id="1926" w:name="_Toc162361853"/>
      <w:bookmarkEnd w:id="1926"/>
      <w:bookmarkStart w:id="1927" w:name="_Toc158719652"/>
      <w:bookmarkEnd w:id="1927"/>
      <w:bookmarkStart w:id="1928" w:name="_Toc158719647"/>
      <w:bookmarkEnd w:id="1928"/>
      <w:bookmarkStart w:id="1929" w:name="_Toc158719651"/>
      <w:bookmarkEnd w:id="1929"/>
      <w:bookmarkStart w:id="1930" w:name="_Toc158720384"/>
      <w:bookmarkEnd w:id="1930"/>
      <w:bookmarkStart w:id="1931" w:name="_Toc162361833"/>
      <w:bookmarkEnd w:id="1931"/>
      <w:bookmarkStart w:id="1932" w:name="_Toc162361831"/>
      <w:bookmarkEnd w:id="1932"/>
      <w:bookmarkStart w:id="1933" w:name="_Toc162359747"/>
      <w:bookmarkEnd w:id="1933"/>
      <w:bookmarkStart w:id="1934" w:name="_Toc158721470"/>
      <w:bookmarkEnd w:id="1934"/>
      <w:bookmarkStart w:id="1935" w:name="_Toc162361834"/>
      <w:bookmarkEnd w:id="1935"/>
      <w:bookmarkStart w:id="1936" w:name="_Toc162359749"/>
      <w:bookmarkEnd w:id="1936"/>
      <w:bookmarkStart w:id="1937" w:name="_Toc158720366"/>
      <w:bookmarkEnd w:id="1937"/>
      <w:bookmarkStart w:id="1938" w:name="_Toc158734178"/>
      <w:bookmarkEnd w:id="1938"/>
      <w:bookmarkStart w:id="1939" w:name="_Toc158721468"/>
      <w:bookmarkEnd w:id="1939"/>
      <w:bookmarkStart w:id="1940" w:name="_Toc158719629"/>
      <w:bookmarkEnd w:id="1940"/>
      <w:bookmarkStart w:id="1941" w:name="_Toc158719633"/>
      <w:bookmarkEnd w:id="1941"/>
      <w:bookmarkStart w:id="1942" w:name="_Toc158720365"/>
      <w:bookmarkEnd w:id="1942"/>
      <w:bookmarkStart w:id="1943" w:name="_Toc162359745"/>
      <w:bookmarkEnd w:id="1943"/>
      <w:bookmarkStart w:id="1944" w:name="_Toc158721469"/>
      <w:bookmarkEnd w:id="1944"/>
      <w:bookmarkStart w:id="1945" w:name="_Toc158734179"/>
      <w:bookmarkEnd w:id="1945"/>
      <w:bookmarkStart w:id="1946" w:name="_Toc162361835"/>
      <w:bookmarkEnd w:id="1946"/>
      <w:bookmarkStart w:id="1947" w:name="_Toc158720361"/>
      <w:bookmarkEnd w:id="1947"/>
      <w:bookmarkStart w:id="1948" w:name="_Toc158722199"/>
      <w:bookmarkEnd w:id="1948"/>
      <w:bookmarkStart w:id="1949" w:name="_Toc162359746"/>
      <w:bookmarkEnd w:id="1949"/>
      <w:bookmarkStart w:id="1950" w:name="_Toc158722932"/>
      <w:bookmarkEnd w:id="1950"/>
      <w:bookmarkStart w:id="1951" w:name="_Toc158722934"/>
      <w:bookmarkEnd w:id="1951"/>
      <w:bookmarkStart w:id="1952" w:name="_Toc158734180"/>
      <w:bookmarkEnd w:id="1952"/>
      <w:bookmarkStart w:id="1953" w:name="_Toc162361836"/>
      <w:bookmarkEnd w:id="1953"/>
      <w:bookmarkStart w:id="1954" w:name="_Toc158720362"/>
      <w:bookmarkEnd w:id="1954"/>
      <w:bookmarkStart w:id="1955" w:name="_Toc158721465"/>
      <w:bookmarkEnd w:id="1955"/>
      <w:bookmarkStart w:id="1956" w:name="_Toc162359744"/>
      <w:bookmarkEnd w:id="1956"/>
      <w:bookmarkStart w:id="1957" w:name="_Toc162361830"/>
      <w:bookmarkEnd w:id="1957"/>
      <w:bookmarkStart w:id="1958" w:name="_Toc158719632"/>
      <w:bookmarkEnd w:id="1958"/>
      <w:bookmarkStart w:id="1959" w:name="_Toc158719634"/>
      <w:bookmarkEnd w:id="1959"/>
      <w:bookmarkStart w:id="1960" w:name="_Toc158719635"/>
      <w:bookmarkEnd w:id="1960"/>
      <w:bookmarkStart w:id="1961" w:name="_Toc158720367"/>
      <w:bookmarkEnd w:id="1961"/>
      <w:bookmarkStart w:id="1962" w:name="_Toc158720363"/>
      <w:bookmarkEnd w:id="1962"/>
      <w:bookmarkStart w:id="1963" w:name="_Toc158722202"/>
      <w:bookmarkEnd w:id="1963"/>
      <w:bookmarkStart w:id="1964" w:name="_Toc162361832"/>
      <w:bookmarkEnd w:id="1964"/>
      <w:bookmarkStart w:id="1965" w:name="_Toc158722933"/>
      <w:bookmarkEnd w:id="1965"/>
      <w:bookmarkStart w:id="1966" w:name="_Toc158722930"/>
      <w:bookmarkEnd w:id="1966"/>
      <w:bookmarkStart w:id="1967" w:name="_Toc158719631"/>
      <w:bookmarkEnd w:id="1967"/>
      <w:bookmarkStart w:id="1968" w:name="_Toc158722203"/>
      <w:bookmarkEnd w:id="1968"/>
      <w:bookmarkStart w:id="1969" w:name="_Toc162359748"/>
      <w:bookmarkEnd w:id="1969"/>
      <w:bookmarkStart w:id="1970" w:name="_Toc158722204"/>
      <w:bookmarkEnd w:id="1970"/>
      <w:bookmarkStart w:id="1971" w:name="_Toc158722929"/>
      <w:bookmarkEnd w:id="1971"/>
      <w:bookmarkStart w:id="1972" w:name="_Toc158721466"/>
      <w:bookmarkEnd w:id="1972"/>
      <w:bookmarkStart w:id="1973" w:name="_Toc158734177"/>
      <w:bookmarkEnd w:id="1973"/>
      <w:bookmarkStart w:id="1974" w:name="_Toc158722200"/>
      <w:bookmarkEnd w:id="1974"/>
      <w:bookmarkStart w:id="1975" w:name="_Toc158720364"/>
      <w:bookmarkEnd w:id="1975"/>
      <w:bookmarkStart w:id="1976" w:name="_Toc158719630"/>
      <w:bookmarkEnd w:id="1976"/>
      <w:bookmarkStart w:id="1977" w:name="_Toc158734175"/>
      <w:bookmarkEnd w:id="1977"/>
      <w:bookmarkStart w:id="1978" w:name="_Toc158721467"/>
      <w:bookmarkEnd w:id="1978"/>
      <w:bookmarkStart w:id="1979" w:name="_Toc158722931"/>
      <w:bookmarkEnd w:id="1979"/>
      <w:bookmarkStart w:id="1980" w:name="_Toc158734176"/>
      <w:bookmarkEnd w:id="1980"/>
      <w:bookmarkStart w:id="1981" w:name="_Toc158722201"/>
      <w:bookmarkEnd w:id="1981"/>
      <w:bookmarkStart w:id="1982" w:name="_Toc158722925"/>
      <w:bookmarkEnd w:id="1982"/>
      <w:bookmarkStart w:id="1983" w:name="_Toc158720351"/>
      <w:bookmarkEnd w:id="1983"/>
      <w:bookmarkStart w:id="1984" w:name="_Toc158722921"/>
      <w:bookmarkEnd w:id="1984"/>
      <w:bookmarkStart w:id="1985" w:name="_Toc158722189"/>
      <w:bookmarkEnd w:id="1985"/>
      <w:bookmarkStart w:id="1986" w:name="_Toc162359734"/>
      <w:bookmarkEnd w:id="1986"/>
      <w:bookmarkStart w:id="1987" w:name="_Toc158734167"/>
      <w:bookmarkEnd w:id="1987"/>
      <w:bookmarkStart w:id="1988" w:name="_Toc158721458"/>
      <w:bookmarkEnd w:id="1988"/>
      <w:bookmarkStart w:id="1989" w:name="_Toc158734169"/>
      <w:bookmarkEnd w:id="1989"/>
      <w:bookmarkStart w:id="1990" w:name="_Toc158734166"/>
      <w:bookmarkEnd w:id="1990"/>
      <w:bookmarkStart w:id="1991" w:name="_Toc158722923"/>
      <w:bookmarkEnd w:id="1991"/>
      <w:bookmarkStart w:id="1992" w:name="_Toc158734170"/>
      <w:bookmarkEnd w:id="1992"/>
      <w:bookmarkStart w:id="1993" w:name="_Toc158721456"/>
      <w:bookmarkEnd w:id="1993"/>
      <w:bookmarkStart w:id="1994" w:name="_Toc158721461"/>
      <w:bookmarkEnd w:id="1994"/>
      <w:bookmarkStart w:id="1995" w:name="_Toc158734171"/>
      <w:bookmarkEnd w:id="1995"/>
      <w:bookmarkStart w:id="1996" w:name="_Toc162359740"/>
      <w:bookmarkEnd w:id="1996"/>
      <w:bookmarkStart w:id="1997" w:name="_Toc158720355"/>
      <w:bookmarkEnd w:id="1997"/>
      <w:bookmarkStart w:id="1998" w:name="_Toc158721459"/>
      <w:bookmarkEnd w:id="1998"/>
      <w:bookmarkStart w:id="1999" w:name="_Toc158722193"/>
      <w:bookmarkEnd w:id="1999"/>
      <w:bookmarkStart w:id="2000" w:name="_Toc162361826"/>
      <w:bookmarkEnd w:id="2000"/>
      <w:bookmarkStart w:id="2001" w:name="_Toc162361827"/>
      <w:bookmarkEnd w:id="2001"/>
      <w:bookmarkStart w:id="2002" w:name="_Toc158719626"/>
      <w:bookmarkEnd w:id="2002"/>
      <w:bookmarkStart w:id="2003" w:name="_Toc158722188"/>
      <w:bookmarkEnd w:id="2003"/>
      <w:bookmarkStart w:id="2004" w:name="_Toc158722918"/>
      <w:bookmarkEnd w:id="2004"/>
      <w:bookmarkStart w:id="2005" w:name="_Toc158720350"/>
      <w:bookmarkEnd w:id="2005"/>
      <w:bookmarkStart w:id="2006" w:name="_Toc158720352"/>
      <w:bookmarkEnd w:id="2006"/>
      <w:bookmarkStart w:id="2007" w:name="_Toc162361825"/>
      <w:bookmarkEnd w:id="2007"/>
      <w:bookmarkStart w:id="2008" w:name="_Toc162361822"/>
      <w:bookmarkEnd w:id="2008"/>
      <w:bookmarkStart w:id="2009" w:name="_Toc158721457"/>
      <w:bookmarkEnd w:id="2009"/>
      <w:bookmarkStart w:id="2010" w:name="_Toc158721455"/>
      <w:bookmarkEnd w:id="2010"/>
      <w:bookmarkStart w:id="2011" w:name="_Toc158722920"/>
      <w:bookmarkEnd w:id="2011"/>
      <w:bookmarkStart w:id="2012" w:name="_Toc162359736"/>
      <w:bookmarkEnd w:id="2012"/>
      <w:bookmarkStart w:id="2013" w:name="_Toc162361823"/>
      <w:bookmarkEnd w:id="2013"/>
      <w:bookmarkStart w:id="2014" w:name="_Toc158719622"/>
      <w:bookmarkEnd w:id="2014"/>
      <w:bookmarkStart w:id="2015" w:name="_Toc158719623"/>
      <w:bookmarkEnd w:id="2015"/>
      <w:bookmarkStart w:id="2016" w:name="_Toc162359738"/>
      <w:bookmarkEnd w:id="2016"/>
      <w:bookmarkStart w:id="2017" w:name="_Toc162359739"/>
      <w:bookmarkEnd w:id="2017"/>
      <w:bookmarkStart w:id="2018" w:name="_Toc158721460"/>
      <w:bookmarkEnd w:id="2018"/>
      <w:bookmarkStart w:id="2019" w:name="_Toc158719625"/>
      <w:bookmarkEnd w:id="2019"/>
      <w:bookmarkStart w:id="2020" w:name="_Toc158722919"/>
      <w:bookmarkEnd w:id="2020"/>
      <w:bookmarkStart w:id="2021" w:name="_Toc158719621"/>
      <w:bookmarkEnd w:id="2021"/>
      <w:bookmarkStart w:id="2022" w:name="_Toc158722922"/>
      <w:bookmarkEnd w:id="2022"/>
      <w:bookmarkStart w:id="2023" w:name="_Toc162361820"/>
      <w:bookmarkEnd w:id="2023"/>
      <w:bookmarkStart w:id="2024" w:name="_Toc158721454"/>
      <w:bookmarkEnd w:id="2024"/>
      <w:bookmarkStart w:id="2025" w:name="_Toc158720353"/>
      <w:bookmarkEnd w:id="2025"/>
      <w:bookmarkStart w:id="2026" w:name="_Toc162361821"/>
      <w:bookmarkEnd w:id="2026"/>
      <w:bookmarkStart w:id="2027" w:name="_Toc158719620"/>
      <w:bookmarkEnd w:id="2027"/>
      <w:bookmarkStart w:id="2028" w:name="_Toc162359735"/>
      <w:bookmarkEnd w:id="2028"/>
      <w:bookmarkStart w:id="2029" w:name="_Toc158722191"/>
      <w:bookmarkEnd w:id="2029"/>
      <w:bookmarkStart w:id="2030" w:name="_Toc158734168"/>
      <w:bookmarkEnd w:id="2030"/>
      <w:bookmarkStart w:id="2031" w:name="_Toc158719619"/>
      <w:bookmarkEnd w:id="2031"/>
      <w:bookmarkStart w:id="2032" w:name="_Toc162359737"/>
      <w:bookmarkEnd w:id="2032"/>
      <w:bookmarkStart w:id="2033" w:name="_Toc158722190"/>
      <w:bookmarkEnd w:id="2033"/>
      <w:bookmarkStart w:id="2034" w:name="_Toc158734165"/>
      <w:bookmarkEnd w:id="2034"/>
      <w:bookmarkStart w:id="2035" w:name="_Toc158720354"/>
      <w:bookmarkEnd w:id="2035"/>
      <w:bookmarkStart w:id="2036" w:name="_Toc162361824"/>
      <w:bookmarkEnd w:id="2036"/>
      <w:bookmarkStart w:id="2037" w:name="_Toc158719624"/>
      <w:bookmarkEnd w:id="2037"/>
      <w:bookmarkStart w:id="2038" w:name="_Toc158720356"/>
      <w:bookmarkEnd w:id="2038"/>
      <w:bookmarkStart w:id="2039" w:name="_Toc158722192"/>
      <w:bookmarkEnd w:id="2039"/>
      <w:bookmarkStart w:id="2040" w:name="_Toc158722194"/>
      <w:bookmarkEnd w:id="2040"/>
      <w:bookmarkStart w:id="2041" w:name="_Toc158734164"/>
      <w:bookmarkEnd w:id="2041"/>
      <w:bookmarkStart w:id="2042" w:name="_Toc158722924"/>
      <w:bookmarkEnd w:id="2042"/>
      <w:bookmarkStart w:id="2043" w:name="_Toc158720357"/>
      <w:bookmarkEnd w:id="2043"/>
      <w:bookmarkStart w:id="2044" w:name="_Toc158722195"/>
      <w:bookmarkEnd w:id="2044"/>
      <w:bookmarkStart w:id="2045" w:name="_Toc162359733"/>
      <w:bookmarkEnd w:id="2045"/>
      <w:bookmarkStart w:id="2046" w:name="_Toc158721462"/>
      <w:bookmarkEnd w:id="2046"/>
      <w:bookmarkStart w:id="2047" w:name="_Toc158722196"/>
      <w:bookmarkEnd w:id="2047"/>
      <w:bookmarkStart w:id="2048" w:name="_Toc158720358"/>
      <w:bookmarkEnd w:id="2048"/>
      <w:bookmarkStart w:id="2049" w:name="_Toc162361828"/>
      <w:bookmarkEnd w:id="2049"/>
      <w:bookmarkStart w:id="2050" w:name="_Toc158722926"/>
      <w:bookmarkEnd w:id="2050"/>
      <w:bookmarkStart w:id="2051" w:name="_Toc158722197"/>
      <w:bookmarkEnd w:id="2051"/>
      <w:bookmarkStart w:id="2052" w:name="_Toc158734172"/>
      <w:bookmarkEnd w:id="2052"/>
      <w:bookmarkStart w:id="2053" w:name="_Toc158719627"/>
      <w:bookmarkEnd w:id="2053"/>
      <w:bookmarkStart w:id="2054" w:name="_Toc158721463"/>
      <w:bookmarkEnd w:id="2054"/>
      <w:bookmarkStart w:id="2055" w:name="_Toc158720359"/>
      <w:bookmarkEnd w:id="2055"/>
      <w:bookmarkStart w:id="2056" w:name="_Toc162359741"/>
      <w:bookmarkEnd w:id="2056"/>
      <w:bookmarkStart w:id="2057" w:name="_Toc158734173"/>
      <w:bookmarkEnd w:id="2057"/>
      <w:bookmarkStart w:id="2058" w:name="_Toc158719628"/>
      <w:bookmarkEnd w:id="2058"/>
      <w:bookmarkStart w:id="2059" w:name="_Toc158722927"/>
      <w:bookmarkEnd w:id="2059"/>
      <w:bookmarkStart w:id="2060" w:name="_Toc162359742"/>
      <w:bookmarkEnd w:id="2060"/>
      <w:bookmarkStart w:id="2061" w:name="_Toc158720360"/>
      <w:bookmarkEnd w:id="2061"/>
      <w:bookmarkStart w:id="2062" w:name="_Toc162361829"/>
      <w:bookmarkEnd w:id="2062"/>
      <w:bookmarkStart w:id="2063" w:name="_Toc158721464"/>
      <w:bookmarkEnd w:id="2063"/>
      <w:bookmarkStart w:id="2064" w:name="_Toc158722198"/>
      <w:bookmarkEnd w:id="2064"/>
      <w:bookmarkStart w:id="2065" w:name="_Toc158722928"/>
      <w:bookmarkEnd w:id="2065"/>
      <w:bookmarkStart w:id="2066" w:name="_Toc158734174"/>
      <w:bookmarkEnd w:id="2066"/>
      <w:bookmarkStart w:id="2067" w:name="_Toc162359743"/>
      <w:bookmarkEnd w:id="2067"/>
      <w:bookmarkStart w:id="2068" w:name="_Toc158721431"/>
      <w:bookmarkEnd w:id="2068"/>
      <w:bookmarkStart w:id="2069" w:name="_Toc158722165"/>
      <w:bookmarkEnd w:id="2069"/>
      <w:bookmarkStart w:id="2070" w:name="_Toc158722895"/>
      <w:bookmarkEnd w:id="2070"/>
      <w:bookmarkStart w:id="2071" w:name="_Toc158719595"/>
      <w:bookmarkEnd w:id="2071"/>
      <w:bookmarkStart w:id="2072" w:name="_Toc158720327"/>
      <w:bookmarkEnd w:id="2072"/>
      <w:bookmarkStart w:id="2073" w:name="_Toc158722902"/>
      <w:bookmarkEnd w:id="2073"/>
      <w:bookmarkStart w:id="2074" w:name="_Toc158721433"/>
      <w:bookmarkEnd w:id="2074"/>
      <w:bookmarkStart w:id="2075" w:name="_Toc158721438"/>
      <w:bookmarkEnd w:id="2075"/>
      <w:bookmarkStart w:id="2076" w:name="_Toc158734148"/>
      <w:bookmarkEnd w:id="2076"/>
      <w:bookmarkStart w:id="2077" w:name="_Toc158721436"/>
      <w:bookmarkEnd w:id="2077"/>
      <w:bookmarkStart w:id="2078" w:name="_Toc162359717"/>
      <w:bookmarkEnd w:id="2078"/>
      <w:bookmarkStart w:id="2079" w:name="_Toc158722901"/>
      <w:bookmarkEnd w:id="2079"/>
      <w:bookmarkStart w:id="2080" w:name="_Toc158719600"/>
      <w:bookmarkEnd w:id="2080"/>
      <w:bookmarkStart w:id="2081" w:name="_Toc162361797"/>
      <w:bookmarkEnd w:id="2081"/>
      <w:bookmarkStart w:id="2082" w:name="_Toc158722166"/>
      <w:bookmarkEnd w:id="2082"/>
      <w:bookmarkStart w:id="2083" w:name="_Toc158734145"/>
      <w:bookmarkEnd w:id="2083"/>
      <w:bookmarkStart w:id="2084" w:name="_Toc158722170"/>
      <w:bookmarkEnd w:id="2084"/>
      <w:bookmarkStart w:id="2085" w:name="_Toc158719596"/>
      <w:bookmarkEnd w:id="2085"/>
      <w:bookmarkStart w:id="2086" w:name="_Toc158720330"/>
      <w:bookmarkEnd w:id="2086"/>
      <w:bookmarkStart w:id="2087" w:name="_Toc158722900"/>
      <w:bookmarkEnd w:id="2087"/>
      <w:bookmarkStart w:id="2088" w:name="_Toc158734146"/>
      <w:bookmarkEnd w:id="2088"/>
      <w:bookmarkStart w:id="2089" w:name="_Toc158719601"/>
      <w:bookmarkEnd w:id="2089"/>
      <w:bookmarkStart w:id="2090" w:name="_Toc158721437"/>
      <w:bookmarkEnd w:id="2090"/>
      <w:bookmarkStart w:id="2091" w:name="_Toc158722896"/>
      <w:bookmarkEnd w:id="2091"/>
      <w:bookmarkStart w:id="2092" w:name="_Toc162361803"/>
      <w:bookmarkEnd w:id="2092"/>
      <w:bookmarkStart w:id="2093" w:name="_Toc158720331"/>
      <w:bookmarkEnd w:id="2093"/>
      <w:bookmarkStart w:id="2094" w:name="_Toc158719602"/>
      <w:bookmarkEnd w:id="2094"/>
      <w:bookmarkStart w:id="2095" w:name="_Toc162361801"/>
      <w:bookmarkEnd w:id="2095"/>
      <w:bookmarkStart w:id="2096" w:name="_Toc162359711"/>
      <w:bookmarkEnd w:id="2096"/>
      <w:bookmarkStart w:id="2097" w:name="_Toc158734141"/>
      <w:bookmarkEnd w:id="2097"/>
      <w:bookmarkStart w:id="2098" w:name="_Toc162361804"/>
      <w:bookmarkEnd w:id="2098"/>
      <w:bookmarkStart w:id="2099" w:name="_Toc158719603"/>
      <w:bookmarkEnd w:id="2099"/>
      <w:bookmarkStart w:id="2100" w:name="_Toc158720335"/>
      <w:bookmarkEnd w:id="2100"/>
      <w:bookmarkStart w:id="2101" w:name="_Toc158721439"/>
      <w:bookmarkEnd w:id="2101"/>
      <w:bookmarkStart w:id="2102" w:name="_Toc158722173"/>
      <w:bookmarkEnd w:id="2102"/>
      <w:bookmarkStart w:id="2103" w:name="_Toc158722897"/>
      <w:bookmarkEnd w:id="2103"/>
      <w:bookmarkStart w:id="2104" w:name="_Toc158734142"/>
      <w:bookmarkEnd w:id="2104"/>
      <w:bookmarkStart w:id="2105" w:name="_Toc158720329"/>
      <w:bookmarkEnd w:id="2105"/>
      <w:bookmarkStart w:id="2106" w:name="_Toc158721432"/>
      <w:bookmarkEnd w:id="2106"/>
      <w:bookmarkStart w:id="2107" w:name="_Toc158722169"/>
      <w:bookmarkEnd w:id="2107"/>
      <w:bookmarkStart w:id="2108" w:name="_Toc158722171"/>
      <w:bookmarkEnd w:id="2108"/>
      <w:bookmarkStart w:id="2109" w:name="_Toc158722903"/>
      <w:bookmarkEnd w:id="2109"/>
      <w:bookmarkStart w:id="2110" w:name="_Toc162359710"/>
      <w:bookmarkEnd w:id="2110"/>
      <w:bookmarkStart w:id="2111" w:name="_Toc158722898"/>
      <w:bookmarkEnd w:id="2111"/>
      <w:bookmarkStart w:id="2112" w:name="_Toc162359714"/>
      <w:bookmarkEnd w:id="2112"/>
      <w:bookmarkStart w:id="2113" w:name="_Toc158721434"/>
      <w:bookmarkEnd w:id="2113"/>
      <w:bookmarkStart w:id="2114" w:name="_Toc162361802"/>
      <w:bookmarkEnd w:id="2114"/>
      <w:bookmarkStart w:id="2115" w:name="_Toc162361799"/>
      <w:bookmarkEnd w:id="2115"/>
      <w:bookmarkStart w:id="2116" w:name="_Toc158720333"/>
      <w:bookmarkEnd w:id="2116"/>
      <w:bookmarkStart w:id="2117" w:name="_Toc158722168"/>
      <w:bookmarkEnd w:id="2117"/>
      <w:bookmarkStart w:id="2118" w:name="_Toc162359715"/>
      <w:bookmarkEnd w:id="2118"/>
      <w:bookmarkStart w:id="2119" w:name="_Toc162359716"/>
      <w:bookmarkEnd w:id="2119"/>
      <w:bookmarkStart w:id="2120" w:name="_Toc158720334"/>
      <w:bookmarkEnd w:id="2120"/>
      <w:bookmarkStart w:id="2121" w:name="_Toc158722172"/>
      <w:bookmarkEnd w:id="2121"/>
      <w:bookmarkStart w:id="2122" w:name="_Toc158734143"/>
      <w:bookmarkEnd w:id="2122"/>
      <w:bookmarkStart w:id="2123" w:name="_Toc158719599"/>
      <w:bookmarkEnd w:id="2123"/>
      <w:bookmarkStart w:id="2124" w:name="_Toc162361798"/>
      <w:bookmarkEnd w:id="2124"/>
      <w:bookmarkStart w:id="2125" w:name="_Toc158722899"/>
      <w:bookmarkEnd w:id="2125"/>
      <w:bookmarkStart w:id="2126" w:name="_Toc158720332"/>
      <w:bookmarkEnd w:id="2126"/>
      <w:bookmarkStart w:id="2127" w:name="_Toc162359712"/>
      <w:bookmarkEnd w:id="2127"/>
      <w:bookmarkStart w:id="2128" w:name="_Toc158734147"/>
      <w:bookmarkEnd w:id="2128"/>
      <w:bookmarkStart w:id="2129" w:name="_Toc158722167"/>
      <w:bookmarkEnd w:id="2129"/>
      <w:bookmarkStart w:id="2130" w:name="_Toc158720328"/>
      <w:bookmarkEnd w:id="2130"/>
      <w:bookmarkStart w:id="2131" w:name="_Toc158719597"/>
      <w:bookmarkEnd w:id="2131"/>
      <w:bookmarkStart w:id="2132" w:name="_Toc158734144"/>
      <w:bookmarkEnd w:id="2132"/>
      <w:bookmarkStart w:id="2133" w:name="_Toc162361800"/>
      <w:bookmarkEnd w:id="2133"/>
      <w:bookmarkStart w:id="2134" w:name="_Toc158719598"/>
      <w:bookmarkEnd w:id="2134"/>
      <w:bookmarkStart w:id="2135" w:name="_Toc162359713"/>
      <w:bookmarkEnd w:id="2135"/>
      <w:bookmarkStart w:id="2136" w:name="_Toc158721435"/>
      <w:bookmarkEnd w:id="2136"/>
      <w:bookmarkStart w:id="2137" w:name="_Toc158722174"/>
      <w:bookmarkEnd w:id="2137"/>
      <w:bookmarkStart w:id="2138" w:name="_Toc158719606"/>
      <w:bookmarkEnd w:id="2138"/>
      <w:bookmarkStart w:id="2139" w:name="_Toc162361805"/>
      <w:bookmarkEnd w:id="2139"/>
      <w:bookmarkStart w:id="2140" w:name="_Toc158721442"/>
      <w:bookmarkEnd w:id="2140"/>
      <w:bookmarkStart w:id="2141" w:name="_Toc158722905"/>
      <w:bookmarkEnd w:id="2141"/>
      <w:bookmarkStart w:id="2142" w:name="_Toc162361808"/>
      <w:bookmarkEnd w:id="2142"/>
      <w:bookmarkStart w:id="2143" w:name="_Toc158722177"/>
      <w:bookmarkEnd w:id="2143"/>
      <w:bookmarkStart w:id="2144" w:name="_Toc158719608"/>
      <w:bookmarkEnd w:id="2144"/>
      <w:bookmarkStart w:id="2145" w:name="_Toc158719604"/>
      <w:bookmarkEnd w:id="2145"/>
      <w:bookmarkStart w:id="2146" w:name="_Toc158722904"/>
      <w:bookmarkEnd w:id="2146"/>
      <w:bookmarkStart w:id="2147" w:name="_Toc162361806"/>
      <w:bookmarkEnd w:id="2147"/>
      <w:bookmarkStart w:id="2148" w:name="_Toc158720336"/>
      <w:bookmarkEnd w:id="2148"/>
      <w:bookmarkStart w:id="2149" w:name="_Toc158720340"/>
      <w:bookmarkEnd w:id="2149"/>
      <w:bookmarkStart w:id="2150" w:name="_Toc158721441"/>
      <w:bookmarkEnd w:id="2150"/>
      <w:bookmarkStart w:id="2151" w:name="_Toc158722179"/>
      <w:bookmarkEnd w:id="2151"/>
      <w:bookmarkStart w:id="2152" w:name="_Toc158722906"/>
      <w:bookmarkEnd w:id="2152"/>
      <w:bookmarkStart w:id="2153" w:name="_Toc158722907"/>
      <w:bookmarkEnd w:id="2153"/>
      <w:bookmarkStart w:id="2154" w:name="_Toc158721444"/>
      <w:bookmarkEnd w:id="2154"/>
      <w:bookmarkStart w:id="2155" w:name="_Toc158734155"/>
      <w:bookmarkEnd w:id="2155"/>
      <w:bookmarkStart w:id="2156" w:name="_Toc162361811"/>
      <w:bookmarkEnd w:id="2156"/>
      <w:bookmarkStart w:id="2157" w:name="_Toc158734154"/>
      <w:bookmarkEnd w:id="2157"/>
      <w:bookmarkStart w:id="2158" w:name="_Toc162359722"/>
      <w:bookmarkEnd w:id="2158"/>
      <w:bookmarkStart w:id="2159" w:name="_Toc158719609"/>
      <w:bookmarkEnd w:id="2159"/>
      <w:bookmarkStart w:id="2160" w:name="_Toc158722180"/>
      <w:bookmarkEnd w:id="2160"/>
      <w:bookmarkStart w:id="2161" w:name="_Toc158719605"/>
      <w:bookmarkEnd w:id="2161"/>
      <w:bookmarkStart w:id="2162" w:name="_Toc162359721"/>
      <w:bookmarkEnd w:id="2162"/>
      <w:bookmarkStart w:id="2163" w:name="_Toc162359719"/>
      <w:bookmarkEnd w:id="2163"/>
      <w:bookmarkStart w:id="2164" w:name="_Toc158722176"/>
      <w:bookmarkEnd w:id="2164"/>
      <w:bookmarkStart w:id="2165" w:name="_Toc158719607"/>
      <w:bookmarkEnd w:id="2165"/>
      <w:bookmarkStart w:id="2166" w:name="_Toc158720339"/>
      <w:bookmarkEnd w:id="2166"/>
      <w:bookmarkStart w:id="2167" w:name="_Toc162361810"/>
      <w:bookmarkEnd w:id="2167"/>
      <w:bookmarkStart w:id="2168" w:name="_Toc158720341"/>
      <w:bookmarkEnd w:id="2168"/>
      <w:bookmarkStart w:id="2169" w:name="_Toc162359724"/>
      <w:bookmarkEnd w:id="2169"/>
      <w:bookmarkStart w:id="2170" w:name="_Toc158734150"/>
      <w:bookmarkEnd w:id="2170"/>
      <w:bookmarkStart w:id="2171" w:name="_Toc158734152"/>
      <w:bookmarkEnd w:id="2171"/>
      <w:bookmarkStart w:id="2172" w:name="_Toc162359718"/>
      <w:bookmarkEnd w:id="2172"/>
      <w:bookmarkStart w:id="2173" w:name="_Toc158719610"/>
      <w:bookmarkEnd w:id="2173"/>
      <w:bookmarkStart w:id="2174" w:name="_Toc158721446"/>
      <w:bookmarkEnd w:id="2174"/>
      <w:bookmarkStart w:id="2175" w:name="_Toc158720342"/>
      <w:bookmarkEnd w:id="2175"/>
      <w:bookmarkStart w:id="2176" w:name="_Toc158722909"/>
      <w:bookmarkEnd w:id="2176"/>
      <w:bookmarkStart w:id="2177" w:name="_Toc158720337"/>
      <w:bookmarkEnd w:id="2177"/>
      <w:bookmarkStart w:id="2178" w:name="_Toc162359723"/>
      <w:bookmarkEnd w:id="2178"/>
      <w:bookmarkStart w:id="2179" w:name="_Toc158734156"/>
      <w:bookmarkEnd w:id="2179"/>
      <w:bookmarkStart w:id="2180" w:name="_Toc162359725"/>
      <w:bookmarkEnd w:id="2180"/>
      <w:bookmarkStart w:id="2181" w:name="_Toc162359720"/>
      <w:bookmarkEnd w:id="2181"/>
      <w:bookmarkStart w:id="2182" w:name="_Toc162361812"/>
      <w:bookmarkEnd w:id="2182"/>
      <w:bookmarkStart w:id="2183" w:name="_Toc158720343"/>
      <w:bookmarkEnd w:id="2183"/>
      <w:bookmarkStart w:id="2184" w:name="_Toc158720338"/>
      <w:bookmarkEnd w:id="2184"/>
      <w:bookmarkStart w:id="2185" w:name="_Toc158721447"/>
      <w:bookmarkEnd w:id="2185"/>
      <w:bookmarkStart w:id="2186" w:name="_Toc158734153"/>
      <w:bookmarkEnd w:id="2186"/>
      <w:bookmarkStart w:id="2187" w:name="_Toc158722181"/>
      <w:bookmarkEnd w:id="2187"/>
      <w:bookmarkStart w:id="2188" w:name="_Toc162361809"/>
      <w:bookmarkEnd w:id="2188"/>
      <w:bookmarkStart w:id="2189" w:name="_Toc158722911"/>
      <w:bookmarkEnd w:id="2189"/>
      <w:bookmarkStart w:id="2190" w:name="_Toc158722910"/>
      <w:bookmarkEnd w:id="2190"/>
      <w:bookmarkStart w:id="2191" w:name="_Toc158721440"/>
      <w:bookmarkEnd w:id="2191"/>
      <w:bookmarkStart w:id="2192" w:name="_Toc158722175"/>
      <w:bookmarkEnd w:id="2192"/>
      <w:bookmarkStart w:id="2193" w:name="_Toc158734151"/>
      <w:bookmarkEnd w:id="2193"/>
      <w:bookmarkStart w:id="2194" w:name="_Toc158722178"/>
      <w:bookmarkEnd w:id="2194"/>
      <w:bookmarkStart w:id="2195" w:name="_Toc158722908"/>
      <w:bookmarkEnd w:id="2195"/>
      <w:bookmarkStart w:id="2196" w:name="_Toc158721445"/>
      <w:bookmarkEnd w:id="2196"/>
      <w:bookmarkStart w:id="2197" w:name="_Toc158719611"/>
      <w:bookmarkEnd w:id="2197"/>
      <w:bookmarkStart w:id="2198" w:name="_Toc158734149"/>
      <w:bookmarkEnd w:id="2198"/>
      <w:bookmarkStart w:id="2199" w:name="_Toc162361807"/>
      <w:bookmarkEnd w:id="2199"/>
      <w:bookmarkStart w:id="2200" w:name="_Toc158721443"/>
      <w:bookmarkEnd w:id="2200"/>
      <w:bookmarkStart w:id="2201" w:name="_Toc162361819"/>
      <w:bookmarkEnd w:id="2201"/>
      <w:bookmarkStart w:id="2202" w:name="_Toc158722914"/>
      <w:bookmarkEnd w:id="2202"/>
      <w:bookmarkStart w:id="2203" w:name="_Toc162359727"/>
      <w:bookmarkEnd w:id="2203"/>
      <w:bookmarkStart w:id="2204" w:name="_Toc158719618"/>
      <w:bookmarkEnd w:id="2204"/>
      <w:bookmarkStart w:id="2205" w:name="_Toc158722187"/>
      <w:bookmarkEnd w:id="2205"/>
      <w:bookmarkStart w:id="2206" w:name="_Toc158734158"/>
      <w:bookmarkEnd w:id="2206"/>
      <w:bookmarkStart w:id="2207" w:name="_Toc158719614"/>
      <w:bookmarkEnd w:id="2207"/>
      <w:bookmarkStart w:id="2208" w:name="_Toc158722185"/>
      <w:bookmarkEnd w:id="2208"/>
      <w:bookmarkStart w:id="2209" w:name="_Toc158734157"/>
      <w:bookmarkEnd w:id="2209"/>
      <w:bookmarkStart w:id="2210" w:name="_Toc158719612"/>
      <w:bookmarkEnd w:id="2210"/>
      <w:bookmarkStart w:id="2211" w:name="_Toc162361814"/>
      <w:bookmarkEnd w:id="2211"/>
      <w:bookmarkStart w:id="2212" w:name="_Toc162359726"/>
      <w:bookmarkEnd w:id="2212"/>
      <w:bookmarkStart w:id="2213" w:name="_Toc158734159"/>
      <w:bookmarkEnd w:id="2213"/>
      <w:bookmarkStart w:id="2214" w:name="_Toc158721450"/>
      <w:bookmarkEnd w:id="2214"/>
      <w:bookmarkStart w:id="2215" w:name="_Toc158722913"/>
      <w:bookmarkEnd w:id="2215"/>
      <w:bookmarkStart w:id="2216" w:name="_Toc162361816"/>
      <w:bookmarkEnd w:id="2216"/>
      <w:bookmarkStart w:id="2217" w:name="_Toc158722915"/>
      <w:bookmarkEnd w:id="2217"/>
      <w:bookmarkStart w:id="2218" w:name="_Toc162361817"/>
      <w:bookmarkEnd w:id="2218"/>
      <w:bookmarkStart w:id="2219" w:name="_Toc158719616"/>
      <w:bookmarkEnd w:id="2219"/>
      <w:bookmarkStart w:id="2220" w:name="_Toc162361813"/>
      <w:bookmarkEnd w:id="2220"/>
      <w:bookmarkStart w:id="2221" w:name="_Toc158720347"/>
      <w:bookmarkEnd w:id="2221"/>
      <w:bookmarkStart w:id="2222" w:name="_Toc158722912"/>
      <w:bookmarkEnd w:id="2222"/>
      <w:bookmarkStart w:id="2223" w:name="_Toc158722184"/>
      <w:bookmarkEnd w:id="2223"/>
      <w:bookmarkStart w:id="2224" w:name="_Toc158734160"/>
      <w:bookmarkEnd w:id="2224"/>
      <w:bookmarkStart w:id="2225" w:name="_Toc158721452"/>
      <w:bookmarkEnd w:id="2225"/>
      <w:bookmarkStart w:id="2226" w:name="_Toc158720348"/>
      <w:bookmarkEnd w:id="2226"/>
      <w:bookmarkStart w:id="2227" w:name="_Toc158720345"/>
      <w:bookmarkEnd w:id="2227"/>
      <w:bookmarkStart w:id="2228" w:name="_Toc158721449"/>
      <w:bookmarkEnd w:id="2228"/>
      <w:bookmarkStart w:id="2229" w:name="_Toc162359730"/>
      <w:bookmarkEnd w:id="2229"/>
      <w:bookmarkStart w:id="2230" w:name="_Toc158719613"/>
      <w:bookmarkEnd w:id="2230"/>
      <w:bookmarkStart w:id="2231" w:name="_Toc158719615"/>
      <w:bookmarkEnd w:id="2231"/>
      <w:bookmarkStart w:id="2232" w:name="_Toc158721451"/>
      <w:bookmarkEnd w:id="2232"/>
      <w:bookmarkStart w:id="2233" w:name="_Toc158722183"/>
      <w:bookmarkEnd w:id="2233"/>
      <w:bookmarkStart w:id="2234" w:name="_Toc158734162"/>
      <w:bookmarkEnd w:id="2234"/>
      <w:bookmarkStart w:id="2235" w:name="_Toc158722182"/>
      <w:bookmarkEnd w:id="2235"/>
      <w:bookmarkStart w:id="2236" w:name="_Toc162359731"/>
      <w:bookmarkEnd w:id="2236"/>
      <w:bookmarkStart w:id="2237" w:name="_Toc162361818"/>
      <w:bookmarkEnd w:id="2237"/>
      <w:bookmarkStart w:id="2238" w:name="_Toc158720349"/>
      <w:bookmarkEnd w:id="2238"/>
      <w:bookmarkStart w:id="2239" w:name="_Toc158721453"/>
      <w:bookmarkEnd w:id="2239"/>
      <w:bookmarkStart w:id="2240" w:name="_Toc158722917"/>
      <w:bookmarkEnd w:id="2240"/>
      <w:bookmarkStart w:id="2241" w:name="_Toc158734163"/>
      <w:bookmarkEnd w:id="2241"/>
      <w:bookmarkStart w:id="2242" w:name="_Toc158720344"/>
      <w:bookmarkEnd w:id="2242"/>
      <w:bookmarkStart w:id="2243" w:name="_Toc158720346"/>
      <w:bookmarkEnd w:id="2243"/>
      <w:bookmarkStart w:id="2244" w:name="_Toc158722186"/>
      <w:bookmarkEnd w:id="2244"/>
      <w:bookmarkStart w:id="2245" w:name="_Toc162359729"/>
      <w:bookmarkEnd w:id="2245"/>
      <w:bookmarkStart w:id="2246" w:name="_Toc158719617"/>
      <w:bookmarkEnd w:id="2246"/>
      <w:bookmarkStart w:id="2247" w:name="_Toc158734161"/>
      <w:bookmarkEnd w:id="2247"/>
      <w:bookmarkStart w:id="2248" w:name="_Toc158722916"/>
      <w:bookmarkEnd w:id="2248"/>
      <w:bookmarkStart w:id="2249" w:name="_Toc158721448"/>
      <w:bookmarkEnd w:id="2249"/>
      <w:bookmarkStart w:id="2250" w:name="_Toc162359728"/>
      <w:bookmarkEnd w:id="2250"/>
      <w:bookmarkStart w:id="2251" w:name="_Toc162361815"/>
      <w:bookmarkEnd w:id="2251"/>
      <w:bookmarkStart w:id="2252" w:name="_Toc162359732"/>
      <w:bookmarkEnd w:id="2252"/>
      <w:bookmarkStart w:id="2253" w:name="_Toc162361866"/>
      <w:bookmarkEnd w:id="2253"/>
      <w:bookmarkStart w:id="2254" w:name="_Toc162359779"/>
      <w:bookmarkEnd w:id="2254"/>
      <w:bookmarkStart w:id="2255" w:name="_Toc158720386"/>
      <w:bookmarkEnd w:id="2255"/>
      <w:bookmarkStart w:id="2256" w:name="_Toc158721490"/>
      <w:bookmarkEnd w:id="2256"/>
      <w:bookmarkStart w:id="2257" w:name="_Toc158722224"/>
      <w:bookmarkEnd w:id="2257"/>
      <w:bookmarkStart w:id="2258" w:name="_Toc158722954"/>
      <w:bookmarkEnd w:id="2258"/>
      <w:bookmarkStart w:id="2259" w:name="_Toc158719654"/>
      <w:bookmarkEnd w:id="2259"/>
      <w:bookmarkStart w:id="2260" w:name="_Toc158734200"/>
      <w:bookmarkEnd w:id="2260"/>
      <w:bookmarkStart w:id="2261" w:name="_Toc162359769"/>
      <w:bookmarkEnd w:id="2261"/>
      <w:bookmarkStart w:id="2262" w:name="_Toc162361856"/>
      <w:bookmarkEnd w:id="2262"/>
      <w:bookmarkStart w:id="2263" w:name="_Toc158719655"/>
      <w:bookmarkEnd w:id="2263"/>
      <w:bookmarkStart w:id="2264" w:name="_Toc158720387"/>
      <w:bookmarkEnd w:id="2264"/>
      <w:bookmarkStart w:id="2265" w:name="_Toc158721491"/>
      <w:bookmarkEnd w:id="2265"/>
      <w:bookmarkStart w:id="2266" w:name="_Toc158722225"/>
      <w:bookmarkEnd w:id="2266"/>
      <w:bookmarkStart w:id="2267" w:name="_Toc158722955"/>
      <w:bookmarkEnd w:id="2267"/>
      <w:bookmarkStart w:id="2268" w:name="_Toc158734201"/>
      <w:bookmarkEnd w:id="2268"/>
      <w:bookmarkStart w:id="2269" w:name="_Toc162359770"/>
      <w:bookmarkEnd w:id="2269"/>
      <w:bookmarkStart w:id="2270" w:name="_Toc158720388"/>
      <w:bookmarkEnd w:id="2270"/>
      <w:bookmarkStart w:id="2271" w:name="_Toc162361857"/>
      <w:bookmarkEnd w:id="2271"/>
      <w:bookmarkStart w:id="2272" w:name="_Toc158719656"/>
      <w:bookmarkEnd w:id="2272"/>
      <w:bookmarkStart w:id="2273" w:name="_Toc158721492"/>
      <w:bookmarkEnd w:id="2273"/>
      <w:bookmarkStart w:id="2274" w:name="_Toc158722226"/>
      <w:bookmarkEnd w:id="2274"/>
      <w:bookmarkStart w:id="2275" w:name="_Toc162359771"/>
      <w:bookmarkEnd w:id="2275"/>
      <w:bookmarkStart w:id="2276" w:name="_Toc158722956"/>
      <w:bookmarkEnd w:id="2276"/>
      <w:bookmarkStart w:id="2277" w:name="_Toc162361858"/>
      <w:bookmarkEnd w:id="2277"/>
      <w:bookmarkStart w:id="2278" w:name="_Toc158734202"/>
      <w:bookmarkEnd w:id="2278"/>
      <w:bookmarkStart w:id="2279" w:name="_Toc158719657"/>
      <w:bookmarkEnd w:id="2279"/>
      <w:bookmarkStart w:id="2280" w:name="_Toc158720389"/>
      <w:bookmarkEnd w:id="2280"/>
      <w:bookmarkStart w:id="2281" w:name="_Toc158721493"/>
      <w:bookmarkEnd w:id="2281"/>
      <w:bookmarkStart w:id="2282" w:name="_Toc158722227"/>
      <w:bookmarkEnd w:id="2282"/>
      <w:bookmarkStart w:id="2283" w:name="_Toc158722957"/>
      <w:bookmarkEnd w:id="2283"/>
      <w:bookmarkStart w:id="2284" w:name="_Toc158734203"/>
      <w:bookmarkEnd w:id="2284"/>
      <w:bookmarkStart w:id="2285" w:name="_Toc158722222"/>
      <w:bookmarkEnd w:id="2285"/>
      <w:bookmarkStart w:id="2286" w:name="_Toc158722952"/>
      <w:bookmarkEnd w:id="2286"/>
      <w:bookmarkStart w:id="2287" w:name="_Toc158721488"/>
      <w:bookmarkEnd w:id="2287"/>
      <w:bookmarkStart w:id="2288" w:name="_Toc158734198"/>
      <w:bookmarkEnd w:id="2288"/>
      <w:bookmarkStart w:id="2289" w:name="_Toc162359767"/>
      <w:bookmarkEnd w:id="2289"/>
      <w:bookmarkStart w:id="2290" w:name="_Toc162361854"/>
      <w:bookmarkEnd w:id="2290"/>
      <w:bookmarkStart w:id="2291" w:name="_Toc158719653"/>
      <w:bookmarkEnd w:id="2291"/>
      <w:bookmarkStart w:id="2292" w:name="_Toc158720385"/>
      <w:bookmarkEnd w:id="2292"/>
      <w:bookmarkStart w:id="2293" w:name="_Toc158721489"/>
      <w:bookmarkEnd w:id="2293"/>
      <w:bookmarkStart w:id="2294" w:name="_Toc158722223"/>
      <w:bookmarkEnd w:id="2294"/>
      <w:bookmarkStart w:id="2295" w:name="_Toc158722953"/>
      <w:bookmarkEnd w:id="2295"/>
      <w:bookmarkStart w:id="2296" w:name="_Toc158734199"/>
      <w:bookmarkEnd w:id="2296"/>
      <w:bookmarkStart w:id="2297" w:name="_Toc162359768"/>
      <w:bookmarkEnd w:id="2297"/>
      <w:bookmarkStart w:id="2298" w:name="_Toc162361855"/>
      <w:bookmarkEnd w:id="2298"/>
      <w:bookmarkStart w:id="2299" w:name="_Toc225866343"/>
      <w:bookmarkStart w:id="2300" w:name="_Ref155777657"/>
      <w:bookmarkStart w:id="2301" w:name="_Ref143800924"/>
      <w:bookmarkStart w:id="2302" w:name="_Toc149209646"/>
      <w:bookmarkStart w:id="2303" w:name="_Toc131174710"/>
      <w:bookmarkStart w:id="2304" w:name="_Ref142476783"/>
      <w:r>
        <w:t>Просмотр реестра направлений</w:t>
      </w:r>
      <w:bookmarkEnd w:id="2299"/>
      <w:bookmarkEnd w:id="2300"/>
    </w:p>
    <w:bookmarkEnd w:id="2301"/>
    <w:bookmarkEnd w:id="2302"/>
    <w:p w14:paraId="1BD42A1F">
      <w:pPr>
        <w:pStyle w:val="69"/>
      </w:pPr>
      <w:r>
        <w:t>Раздел «Реестр направлений» предназначен для хранения сведений о входящих и исходящих направлениях.</w:t>
      </w:r>
    </w:p>
    <w:p w14:paraId="3F399050">
      <w:pPr>
        <w:pStyle w:val="69"/>
      </w:pPr>
      <w:r>
        <w:t>Просмотр реестра направлений доступен для следующих ролей сотрудников ТФОМС:</w:t>
      </w:r>
    </w:p>
    <w:p w14:paraId="1471FED1">
      <w:pPr>
        <w:pStyle w:val="76"/>
      </w:pPr>
      <w:r>
        <w:t>Плательщик ТФОМС;</w:t>
      </w:r>
    </w:p>
    <w:p w14:paraId="7449561D">
      <w:pPr>
        <w:pStyle w:val="76"/>
      </w:pPr>
      <w:r>
        <w:t>Куратор по СМО;</w:t>
      </w:r>
    </w:p>
    <w:p w14:paraId="4073825A">
      <w:pPr>
        <w:pStyle w:val="76"/>
      </w:pPr>
      <w:r>
        <w:t>Куратор по МО.</w:t>
      </w:r>
    </w:p>
    <w:p w14:paraId="5833BE47">
      <w:pPr>
        <w:pStyle w:val="69"/>
      </w:pPr>
      <w:r>
        <w:t>Для перехода в раздел выбрать в ленте главного меню вкладку «Реестр направлений».</w:t>
      </w:r>
    </w:p>
    <w:p w14:paraId="07AA41B0">
      <w:pPr>
        <w:pStyle w:val="69"/>
      </w:pPr>
      <w:r>
        <w:t>Плательщику ТФОМС доступны к просмотру только направления, выданные застрахованным лицам, вошедшим в законченный случай, включенный в счет ТФОМС.</w:t>
      </w:r>
    </w:p>
    <w:p w14:paraId="541783EE">
      <w:pPr>
        <w:pStyle w:val="69"/>
      </w:pPr>
      <w:r>
        <w:t>Поиск направлений в панели фильтрации и поиска информации возможен по общей информации.</w:t>
      </w:r>
    </w:p>
    <w:p w14:paraId="252D2F02">
      <w:pPr>
        <w:pStyle w:val="69"/>
      </w:pPr>
      <w:r>
        <w:t xml:space="preserve">В блоке «Фильтр» (рис. </w:t>
      </w:r>
      <w:r>
        <w:fldChar w:fldCharType="begin"/>
      </w:r>
      <w:r>
        <w:instrText xml:space="preserve"> REF  _Ref143804653 \h\#0   \* MERGEFORMAT </w:instrText>
      </w:r>
      <w:r>
        <w:fldChar w:fldCharType="separate"/>
      </w:r>
      <w:r>
        <w:t>83</w:t>
      </w:r>
      <w:r>
        <w:fldChar w:fldCharType="end"/>
      </w:r>
      <w:r>
        <w:t xml:space="preserve">) необходимо указать </w:t>
      </w:r>
      <w:bookmarkStart w:id="2305" w:name="_Hlk206124926"/>
      <w:bookmarkStart w:id="2306" w:name="_Hlk205805012"/>
      <w:r>
        <w:t xml:space="preserve">ОИП пациента или </w:t>
      </w:r>
      <w:bookmarkEnd w:id="2305"/>
      <w:r>
        <w:t xml:space="preserve">иные </w:t>
      </w:r>
      <w:bookmarkEnd w:id="2306"/>
      <w:r>
        <w:t>параметры поиска и нажать кнопку «Найти».</w:t>
      </w:r>
    </w:p>
    <w:p w14:paraId="517128A2">
      <w:pPr>
        <w:pStyle w:val="73"/>
      </w:pPr>
      <w:r>
        <w:drawing>
          <wp:inline distT="0" distB="0" distL="0" distR="0">
            <wp:extent cx="2188845" cy="5669915"/>
            <wp:effectExtent l="19050" t="19050" r="20955" b="26035"/>
            <wp:docPr id="110270320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03200" name="Рисунок 1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188845" cy="5669915"/>
                    </a:xfrm>
                    <a:prstGeom prst="rect">
                      <a:avLst/>
                    </a:prstGeom>
                    <a:noFill/>
                    <a:ln w="3175" cmpd="sng">
                      <a:solidFill>
                        <a:srgbClr val="000000"/>
                      </a:solidFill>
                    </a:ln>
                  </pic:spPr>
                </pic:pic>
              </a:graphicData>
            </a:graphic>
          </wp:inline>
        </w:drawing>
      </w:r>
    </w:p>
    <w:p w14:paraId="7D309E92">
      <w:pPr>
        <w:pStyle w:val="74"/>
      </w:pPr>
      <w:bookmarkStart w:id="2307" w:name="_Ref143804653"/>
      <w:r>
        <w:t xml:space="preserve">Рисунок </w:t>
      </w:r>
      <w:r>
        <w:fldChar w:fldCharType="begin"/>
      </w:r>
      <w:r>
        <w:instrText xml:space="preserve"> SEQ Рисунок \* ARABIC </w:instrText>
      </w:r>
      <w:r>
        <w:fldChar w:fldCharType="separate"/>
      </w:r>
      <w:r>
        <w:t>83</w:t>
      </w:r>
      <w:r>
        <w:fldChar w:fldCharType="end"/>
      </w:r>
      <w:bookmarkEnd w:id="2307"/>
      <w:r>
        <w:t xml:space="preserve"> — Поиск направлений</w:t>
      </w:r>
    </w:p>
    <w:p w14:paraId="4D40516E">
      <w:pPr>
        <w:pStyle w:val="69"/>
      </w:pPr>
      <w:r>
        <w:t xml:space="preserve">В «Реестре направлений» отобразится список направлений, соответствующих критериям поиска (рис. </w:t>
      </w:r>
      <w:r>
        <w:fldChar w:fldCharType="begin"/>
      </w:r>
      <w:r>
        <w:instrText xml:space="preserve"> REF  _Ref143804690 \h\#\0   \* MERGEFORMAT </w:instrText>
      </w:r>
      <w:r>
        <w:fldChar w:fldCharType="separate"/>
      </w:r>
      <w:r>
        <w:t>84</w:t>
      </w:r>
      <w:r>
        <w:fldChar w:fldCharType="end"/>
      </w:r>
      <w:r>
        <w:t>).</w:t>
      </w:r>
    </w:p>
    <w:p w14:paraId="3780D5AF">
      <w:pPr>
        <w:pStyle w:val="73"/>
      </w:pPr>
      <w:r>
        <w:drawing>
          <wp:inline distT="0" distB="0" distL="0" distR="0">
            <wp:extent cx="6120765" cy="3011805"/>
            <wp:effectExtent l="19050" t="19050" r="13335" b="17145"/>
            <wp:docPr id="105766040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660409" name="Рисунок 1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120765" cy="3011805"/>
                    </a:xfrm>
                    <a:prstGeom prst="rect">
                      <a:avLst/>
                    </a:prstGeom>
                    <a:noFill/>
                    <a:ln w="3175" cmpd="sng">
                      <a:solidFill>
                        <a:srgbClr val="000000"/>
                      </a:solidFill>
                    </a:ln>
                  </pic:spPr>
                </pic:pic>
              </a:graphicData>
            </a:graphic>
          </wp:inline>
        </w:drawing>
      </w:r>
    </w:p>
    <w:p w14:paraId="6492638D">
      <w:pPr>
        <w:pStyle w:val="74"/>
      </w:pPr>
      <w:bookmarkStart w:id="2308" w:name="_Ref143804690"/>
      <w:r>
        <w:t xml:space="preserve">Рисунок </w:t>
      </w:r>
      <w:r>
        <w:fldChar w:fldCharType="begin"/>
      </w:r>
      <w:r>
        <w:instrText xml:space="preserve"> SEQ Рисунок \* ARABIC </w:instrText>
      </w:r>
      <w:r>
        <w:fldChar w:fldCharType="separate"/>
      </w:r>
      <w:r>
        <w:t>84</w:t>
      </w:r>
      <w:r>
        <w:fldChar w:fldCharType="end"/>
      </w:r>
      <w:bookmarkEnd w:id="2308"/>
      <w:r>
        <w:t xml:space="preserve"> — Реестр направлений</w:t>
      </w:r>
    </w:p>
    <w:p w14:paraId="5F021547">
      <w:pPr>
        <w:pStyle w:val="69"/>
      </w:pPr>
      <w:bookmarkStart w:id="2309" w:name="_Hlk206124945"/>
      <w:r>
        <w:t>Табличная часть формы включает столбцы, содержащие следующую информацию о направлении:</w:t>
      </w:r>
    </w:p>
    <w:p w14:paraId="6DF724B3">
      <w:pPr>
        <w:pStyle w:val="76"/>
      </w:pPr>
      <w:bookmarkStart w:id="2310" w:name="_Hlk205805247"/>
      <w:r>
        <w:t>«№ п/п» — порядковый номер записи;</w:t>
      </w:r>
    </w:p>
    <w:p w14:paraId="3D47D40C">
      <w:pPr>
        <w:pStyle w:val="76"/>
      </w:pPr>
      <w:r>
        <w:t>«Пациент» — обезличенный идентификатор пациента (ОИП);</w:t>
      </w:r>
    </w:p>
    <w:bookmarkEnd w:id="2310"/>
    <w:p w14:paraId="079EB54B">
      <w:pPr>
        <w:pStyle w:val="76"/>
      </w:pPr>
      <w:r>
        <w:t>«Направившая МО» — краткое наименование медицинской организации, выдавшей направление;</w:t>
      </w:r>
    </w:p>
    <w:p w14:paraId="6E9DA50E">
      <w:pPr>
        <w:pStyle w:val="76"/>
      </w:pPr>
      <w:r>
        <w:t>«Направившая организация (не МО)» — краткое наименование направившей организации отличной от МО;</w:t>
      </w:r>
    </w:p>
    <w:p w14:paraId="30D20DBC">
      <w:pPr>
        <w:pStyle w:val="76"/>
      </w:pPr>
      <w:r>
        <w:t>«МО, в которую направлен» — краткое наименование медицинской организации, в которую выдано направление;</w:t>
      </w:r>
    </w:p>
    <w:p w14:paraId="0565C4AF">
      <w:pPr>
        <w:pStyle w:val="76"/>
      </w:pPr>
      <w:r>
        <w:t>«Организация, в которую направлен (не МО)» — краткое наименование организации, отличной от МО, в которую выдано направление;</w:t>
      </w:r>
    </w:p>
    <w:p w14:paraId="2C3729D1">
      <w:pPr>
        <w:pStyle w:val="76"/>
      </w:pPr>
      <w:r>
        <w:t>«Номер направления» — номер направления;</w:t>
      </w:r>
    </w:p>
    <w:p w14:paraId="5B4C1243">
      <w:pPr>
        <w:pStyle w:val="76"/>
      </w:pPr>
      <w:r>
        <w:t xml:space="preserve">«ИД СЭМД» — </w:t>
      </w:r>
      <w:bookmarkStart w:id="2311" w:name="_Hlk147394831"/>
      <w:r>
        <w:t>идентификатор электронного направления во внешней системе</w:t>
      </w:r>
      <w:bookmarkEnd w:id="2311"/>
      <w:r>
        <w:t>;</w:t>
      </w:r>
    </w:p>
    <w:p w14:paraId="1E69158D">
      <w:pPr>
        <w:pStyle w:val="76"/>
      </w:pPr>
      <w:r>
        <w:t>«Дата создания направления» — дата создания направления в формате дд.мм.гггг;</w:t>
      </w:r>
    </w:p>
    <w:p w14:paraId="10657E4B">
      <w:pPr>
        <w:pStyle w:val="76"/>
      </w:pPr>
      <w:r>
        <w:t>«Дата выдачи направления» — дата направления в формате дд.мм.гггг;</w:t>
      </w:r>
    </w:p>
    <w:p w14:paraId="20AAB094">
      <w:pPr>
        <w:pStyle w:val="76"/>
      </w:pPr>
      <w:r>
        <w:t>«Вид направления» — код вида направления согласно расширенному справочнику «Виды медицинских направлений» 1.2.643.5.1.13.13.11.1009;</w:t>
      </w:r>
    </w:p>
    <w:p w14:paraId="4F44F37C">
      <w:pPr>
        <w:pStyle w:val="76"/>
      </w:pPr>
      <w:r>
        <w:t>«Диагноз в направлении» — диагноз направления;</w:t>
      </w:r>
    </w:p>
    <w:p w14:paraId="233DAE18">
      <w:pPr>
        <w:pStyle w:val="76"/>
      </w:pPr>
      <w:r>
        <w:t>«</w:t>
      </w:r>
      <w:bookmarkStart w:id="2312" w:name="_Hlk164154744"/>
      <w:r>
        <w:t xml:space="preserve">Должность </w:t>
      </w:r>
      <w:bookmarkEnd w:id="2312"/>
      <w:r>
        <w:t>направившего врача» — должность работников организаций медицинского и фармацевтического профиля 1.2.643.5.1.13.13.11.1002;</w:t>
      </w:r>
    </w:p>
    <w:p w14:paraId="104CA497">
      <w:pPr>
        <w:pStyle w:val="76"/>
      </w:pPr>
      <w:r>
        <w:t>«Профиль медицинской помощи» — профиль медицинской помощи 1.2.643.5.1.13.13.11.1119.</w:t>
      </w:r>
    </w:p>
    <w:p w14:paraId="2F8A8D3B">
      <w:pPr>
        <w:pStyle w:val="69"/>
      </w:pPr>
      <w:r>
        <w:t xml:space="preserve">Для просмотра сведений направления необходимо выбрать соответствующую строку записи в «Реестре направлений» и дважды нажать на нее. Откроется карточка направления для просмотра (рис. </w:t>
      </w:r>
      <w:r>
        <w:fldChar w:fldCharType="begin"/>
      </w:r>
      <w:r>
        <w:instrText xml:space="preserve"> REF  _Ref166575318 \h\#\0   \* MERGEFORMAT </w:instrText>
      </w:r>
      <w:r>
        <w:fldChar w:fldCharType="separate"/>
      </w:r>
      <w:r>
        <w:t>85</w:t>
      </w:r>
      <w:r>
        <w:fldChar w:fldCharType="end"/>
      </w:r>
      <w:r>
        <w:t>).</w:t>
      </w:r>
    </w:p>
    <w:p w14:paraId="7158D67D">
      <w:pPr>
        <w:pStyle w:val="73"/>
      </w:pPr>
      <w:r>
        <w:drawing>
          <wp:inline distT="0" distB="0" distL="0" distR="0">
            <wp:extent cx="4247515" cy="5617210"/>
            <wp:effectExtent l="19050" t="19050" r="19685" b="21590"/>
            <wp:docPr id="11798938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893839" name="Рисунок 1"/>
                    <pic:cNvPicPr>
                      <a:picLocks noChangeAspect="1"/>
                    </pic:cNvPicPr>
                  </pic:nvPicPr>
                  <pic:blipFill>
                    <a:blip r:embed="rId115"/>
                    <a:stretch>
                      <a:fillRect/>
                    </a:stretch>
                  </pic:blipFill>
                  <pic:spPr>
                    <a:xfrm>
                      <a:off x="0" y="0"/>
                      <a:ext cx="4248000" cy="5617568"/>
                    </a:xfrm>
                    <a:prstGeom prst="rect">
                      <a:avLst/>
                    </a:prstGeom>
                    <a:ln w="3175" cmpd="sng">
                      <a:solidFill>
                        <a:srgbClr val="000000"/>
                      </a:solidFill>
                    </a:ln>
                  </pic:spPr>
                </pic:pic>
              </a:graphicData>
            </a:graphic>
          </wp:inline>
        </w:drawing>
      </w:r>
    </w:p>
    <w:p w14:paraId="7829733E">
      <w:pPr>
        <w:pStyle w:val="74"/>
      </w:pPr>
      <w:bookmarkStart w:id="2313" w:name="_Ref166575318"/>
      <w:r>
        <w:t xml:space="preserve">Рисунок </w:t>
      </w:r>
      <w:r>
        <w:fldChar w:fldCharType="begin"/>
      </w:r>
      <w:r>
        <w:instrText xml:space="preserve"> SEQ Рисунок \* ARABIC </w:instrText>
      </w:r>
      <w:r>
        <w:fldChar w:fldCharType="separate"/>
      </w:r>
      <w:r>
        <w:t>85</w:t>
      </w:r>
      <w:r>
        <w:fldChar w:fldCharType="end"/>
      </w:r>
      <w:bookmarkEnd w:id="2313"/>
      <w:r>
        <w:t xml:space="preserve"> — Просмотр направления</w:t>
      </w:r>
    </w:p>
    <w:bookmarkEnd w:id="2303"/>
    <w:bookmarkEnd w:id="2304"/>
    <w:bookmarkEnd w:id="2309"/>
    <w:p w14:paraId="1DE0B4E1">
      <w:pPr>
        <w:pStyle w:val="58"/>
        <w:rPr>
          <w:lang w:eastAsia="en-US"/>
        </w:rPr>
      </w:pPr>
      <w:bookmarkStart w:id="2314" w:name="_Toc163041653"/>
      <w:bookmarkEnd w:id="2314"/>
      <w:bookmarkStart w:id="2315" w:name="_Toc163041806"/>
      <w:bookmarkEnd w:id="2315"/>
      <w:bookmarkStart w:id="2316" w:name="_Toc163043292"/>
      <w:bookmarkEnd w:id="2316"/>
      <w:bookmarkStart w:id="2317" w:name="_Toc163041659"/>
      <w:bookmarkEnd w:id="2317"/>
      <w:bookmarkStart w:id="2318" w:name="_Toc163041812"/>
      <w:bookmarkEnd w:id="2318"/>
      <w:bookmarkStart w:id="2319" w:name="_Toc163043298"/>
      <w:bookmarkEnd w:id="2319"/>
      <w:bookmarkStart w:id="2320" w:name="_Toc163041660"/>
      <w:bookmarkEnd w:id="2320"/>
      <w:bookmarkStart w:id="2321" w:name="_Toc163041813"/>
      <w:bookmarkEnd w:id="2321"/>
      <w:bookmarkStart w:id="2322" w:name="_Toc163043299"/>
      <w:bookmarkEnd w:id="2322"/>
      <w:bookmarkStart w:id="2323" w:name="_Ref142476911"/>
      <w:bookmarkStart w:id="2324" w:name="_Toc149209661"/>
      <w:bookmarkStart w:id="2325" w:name="_Toc225866344"/>
      <w:bookmarkStart w:id="2326" w:name="_Hlk166507647"/>
      <w:r>
        <w:rPr>
          <w:lang w:eastAsia="en-US"/>
        </w:rPr>
        <w:t>Формирование сведений по авансам и снятия</w:t>
      </w:r>
      <w:bookmarkEnd w:id="2323"/>
      <w:bookmarkEnd w:id="2324"/>
      <w:r>
        <w:rPr>
          <w:lang w:eastAsia="en-US"/>
        </w:rPr>
        <w:t>м</w:t>
      </w:r>
      <w:bookmarkEnd w:id="2325"/>
    </w:p>
    <w:bookmarkEnd w:id="2326"/>
    <w:p w14:paraId="57920B42">
      <w:pPr>
        <w:pStyle w:val="60"/>
      </w:pPr>
      <w:bookmarkStart w:id="2327" w:name="_Ref166497775"/>
      <w:bookmarkStart w:id="2328" w:name="_Toc225866345"/>
      <w:bookmarkStart w:id="2329" w:name="_Hlk166507737"/>
      <w:r>
        <w:t>Учет сведений об авансах и снятиях</w:t>
      </w:r>
      <w:bookmarkEnd w:id="2327"/>
      <w:bookmarkEnd w:id="2328"/>
    </w:p>
    <w:p w14:paraId="58AFB8E7">
      <w:pPr>
        <w:pStyle w:val="69"/>
      </w:pPr>
      <w:r>
        <w:t xml:space="preserve">В системе ФПУМП реализована возможность регистрации </w:t>
      </w:r>
      <w:bookmarkStart w:id="2330" w:name="_Hlk163119332"/>
      <w:r>
        <w:t>показателей авансирования МО и сняти</w:t>
      </w:r>
      <w:bookmarkEnd w:id="2330"/>
      <w:r>
        <w:t>й по результатам ранее проведенных контрольно-экспертных мероприятий. Снятия по экспертизам, проведенным с использованием функциональности АРМ эксперта по счетам, сформированным в подсистеме ФПУМП, формируются автоматически на основании результатов экспертиз и входят в архив с финальным ответом Плательщика (файл ME).</w:t>
      </w:r>
    </w:p>
    <w:p w14:paraId="6F5E99DB">
      <w:pPr>
        <w:pStyle w:val="69"/>
      </w:pPr>
      <w:r>
        <w:t>Формирование сведений об авансах и снятиях осуществляется для каждого отчетного периода для каждой МО, по которой ТФОМС выступает плательщиком, путем загрузки внешнего файла с показателями.</w:t>
      </w:r>
    </w:p>
    <w:p w14:paraId="70C0F61B">
      <w:pPr>
        <w:pStyle w:val="69"/>
      </w:pPr>
      <w:r>
        <w:t xml:space="preserve">Операции загрузки сведений об авансировании и загрузки сведений о снятиях доступны только пользователю с ролью Плательщик ТФОМС (см. </w:t>
      </w:r>
      <w:r>
        <w:fldChar w:fldCharType="begin"/>
      </w:r>
      <w:r>
        <w:instrText xml:space="preserve"> REF _Ref206005013 \n \h </w:instrText>
      </w:r>
      <w:r>
        <w:fldChar w:fldCharType="separate"/>
      </w:r>
      <w:r>
        <w:t>4.6.3</w:t>
      </w:r>
      <w:r>
        <w:fldChar w:fldCharType="end"/>
      </w:r>
      <w:r>
        <w:t xml:space="preserve"> и </w:t>
      </w:r>
      <w:r>
        <w:fldChar w:fldCharType="begin"/>
      </w:r>
      <w:r>
        <w:instrText xml:space="preserve"> REF _Ref163042533 \n \h </w:instrText>
      </w:r>
      <w:r>
        <w:fldChar w:fldCharType="separate"/>
      </w:r>
      <w:r>
        <w:t>4.6.4</w:t>
      </w:r>
      <w:r>
        <w:fldChar w:fldCharType="end"/>
      </w:r>
      <w:r>
        <w:t>).</w:t>
      </w:r>
    </w:p>
    <w:p w14:paraId="0AFBFF54">
      <w:pPr>
        <w:pStyle w:val="69"/>
      </w:pPr>
      <w:r>
        <w:t>Загруженные данные о финансовых объемах авансирования и снятиях по результатам экспертиз автоматически учитываются в расчетах финальной суммы к оплате МП, оказанной МО, при формировании финального ответа плательщика.</w:t>
      </w:r>
    </w:p>
    <w:p w14:paraId="5BBEA5AE">
      <w:pPr>
        <w:pStyle w:val="69"/>
      </w:pPr>
      <w:r>
        <w:t xml:space="preserve">Просмотреть ответ Плательщика можно после отправки в МО в разделе «Информационный обмен» (см. </w:t>
      </w:r>
      <w:r>
        <w:fldChar w:fldCharType="begin"/>
      </w:r>
      <w:r>
        <w:instrText xml:space="preserve"> REF _Ref162368613 \n \h </w:instrText>
      </w:r>
      <w:r>
        <w:fldChar w:fldCharType="separate"/>
      </w:r>
      <w:r>
        <w:t>4.2.12</w:t>
      </w:r>
      <w:r>
        <w:fldChar w:fldCharType="end"/>
      </w:r>
      <w:r>
        <w:t>).</w:t>
      </w:r>
    </w:p>
    <w:p w14:paraId="3BE6E53E">
      <w:pPr>
        <w:pStyle w:val="69"/>
      </w:pPr>
      <w:bookmarkStart w:id="2331" w:name="_Hlk154482434"/>
      <w:r>
        <w:t>Для просмотра сведений об авансах и снятиях необходимо раскрыть Акт расчетов:</w:t>
      </w:r>
    </w:p>
    <w:p w14:paraId="23F55DFB">
      <w:pPr>
        <w:pStyle w:val="76"/>
      </w:pPr>
      <w:r>
        <w:t>сведения об авансах содержатся в п. 16 «Полная сумма авансирования медицинской организации»;</w:t>
      </w:r>
    </w:p>
    <w:p w14:paraId="29FB96CC">
      <w:pPr>
        <w:pStyle w:val="76"/>
      </w:pPr>
      <w:r>
        <w:t>суммы санкций и штрафов содержатся в п. 17 «Сумма удержаний по итогам ранее проведённых контрольно-экспертных мероприятий».</w:t>
      </w:r>
      <w:bookmarkEnd w:id="2331"/>
    </w:p>
    <w:bookmarkEnd w:id="2329"/>
    <w:p w14:paraId="076CC867">
      <w:pPr>
        <w:pStyle w:val="60"/>
        <w:rPr>
          <w:lang w:eastAsia="en-US"/>
        </w:rPr>
      </w:pPr>
      <w:bookmarkStart w:id="2332" w:name="_Toc162361912"/>
      <w:bookmarkEnd w:id="2332"/>
      <w:bookmarkStart w:id="2333" w:name="_Toc158720457"/>
      <w:bookmarkEnd w:id="2333"/>
      <w:bookmarkStart w:id="2334" w:name="_Toc158721561"/>
      <w:bookmarkEnd w:id="2334"/>
      <w:bookmarkStart w:id="2335" w:name="_Toc158734271"/>
      <w:bookmarkEnd w:id="2335"/>
      <w:bookmarkStart w:id="2336" w:name="_Toc158719725"/>
      <w:bookmarkEnd w:id="2336"/>
      <w:bookmarkStart w:id="2337" w:name="_Toc162359825"/>
      <w:bookmarkEnd w:id="2337"/>
      <w:bookmarkStart w:id="2338" w:name="_Toc158722295"/>
      <w:bookmarkEnd w:id="2338"/>
      <w:bookmarkStart w:id="2339" w:name="_Toc158723025"/>
      <w:bookmarkEnd w:id="2339"/>
      <w:bookmarkStart w:id="2340" w:name="_Toc149209662"/>
      <w:bookmarkStart w:id="2341" w:name="_Ref143802272"/>
      <w:bookmarkStart w:id="2342" w:name="_Toc225866346"/>
      <w:r>
        <w:rPr>
          <w:lang w:eastAsia="en-US"/>
        </w:rPr>
        <w:t>Просмотр сведений по авансированию и снятиям</w:t>
      </w:r>
      <w:bookmarkEnd w:id="2340"/>
      <w:bookmarkEnd w:id="2341"/>
      <w:bookmarkEnd w:id="2342"/>
    </w:p>
    <w:p w14:paraId="3AD0F374">
      <w:pPr>
        <w:pStyle w:val="69"/>
      </w:pPr>
      <w:r>
        <w:t>Просмотр сведений по авансированию и снятиям доступен для следующих ролей сотрудников ТФОМС:</w:t>
      </w:r>
    </w:p>
    <w:p w14:paraId="7D188D64">
      <w:pPr>
        <w:pStyle w:val="76"/>
      </w:pPr>
      <w:r>
        <w:t>Плательщик ТФОМС;</w:t>
      </w:r>
    </w:p>
    <w:p w14:paraId="31F536E1">
      <w:pPr>
        <w:pStyle w:val="76"/>
      </w:pPr>
      <w:r>
        <w:t>Куратор по СМО.</w:t>
      </w:r>
    </w:p>
    <w:p w14:paraId="0BB82AF9">
      <w:pPr>
        <w:pStyle w:val="69"/>
      </w:pPr>
      <w:r>
        <w:t>Сформированные показатели по авансированию и снятиям за отчетный период для всех МО, которые относятся к данному ТФОМС, доступны для просмотра в разделе «Авансы и снятия».</w:t>
      </w:r>
    </w:p>
    <w:p w14:paraId="5FBDA88B">
      <w:pPr>
        <w:pStyle w:val="69"/>
      </w:pPr>
      <w:r>
        <w:t>Для перехода в раздел в ленте главного меню выбрать вкладку «Авансы и снятия».</w:t>
      </w:r>
    </w:p>
    <w:p w14:paraId="0F18FED7">
      <w:pPr>
        <w:pStyle w:val="69"/>
      </w:pPr>
      <w:bookmarkStart w:id="2343" w:name="_Hlk205804204"/>
      <w:r>
        <w:t xml:space="preserve">В рабочей области по умолчанию отобразится раздел «Авансы и снятия» (рис. </w:t>
      </w:r>
      <w:r>
        <w:fldChar w:fldCharType="begin"/>
      </w:r>
      <w:r>
        <w:instrText xml:space="preserve"> REF  _Ref162527675 \h\#\0   \* MERGEFORMAT </w:instrText>
      </w:r>
      <w:r>
        <w:fldChar w:fldCharType="separate"/>
      </w:r>
      <w:r>
        <w:t>86</w:t>
      </w:r>
      <w:r>
        <w:fldChar w:fldCharType="end"/>
      </w:r>
      <w:r>
        <w:t>).</w:t>
      </w:r>
    </w:p>
    <w:bookmarkEnd w:id="2343"/>
    <w:p w14:paraId="780610E6">
      <w:pPr>
        <w:pStyle w:val="73"/>
      </w:pPr>
      <w:r>
        <w:drawing>
          <wp:inline distT="0" distB="0" distL="0" distR="0">
            <wp:extent cx="6119495" cy="2896235"/>
            <wp:effectExtent l="19050" t="19050" r="14605" b="18415"/>
            <wp:docPr id="8478605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860529" name="Рисунок 1"/>
                    <pic:cNvPicPr>
                      <a:picLocks noChangeAspect="1"/>
                    </pic:cNvPicPr>
                  </pic:nvPicPr>
                  <pic:blipFill>
                    <a:blip r:embed="rId116"/>
                    <a:stretch>
                      <a:fillRect/>
                    </a:stretch>
                  </pic:blipFill>
                  <pic:spPr>
                    <a:xfrm>
                      <a:off x="0" y="0"/>
                      <a:ext cx="6119495" cy="2896235"/>
                    </a:xfrm>
                    <a:prstGeom prst="rect">
                      <a:avLst/>
                    </a:prstGeom>
                    <a:ln w="3175" cmpd="sng">
                      <a:solidFill>
                        <a:srgbClr val="000000"/>
                      </a:solidFill>
                    </a:ln>
                  </pic:spPr>
                </pic:pic>
              </a:graphicData>
            </a:graphic>
          </wp:inline>
        </w:drawing>
      </w:r>
    </w:p>
    <w:p w14:paraId="68E9600D">
      <w:pPr>
        <w:pStyle w:val="74"/>
      </w:pPr>
      <w:bookmarkStart w:id="2344" w:name="_Ref162527675"/>
      <w:r>
        <w:t xml:space="preserve">Рисунок </w:t>
      </w:r>
      <w:r>
        <w:fldChar w:fldCharType="begin"/>
      </w:r>
      <w:r>
        <w:instrText xml:space="preserve"> SEQ Рисунок \* ARABIC </w:instrText>
      </w:r>
      <w:r>
        <w:fldChar w:fldCharType="separate"/>
      </w:r>
      <w:r>
        <w:t>86</w:t>
      </w:r>
      <w:r>
        <w:fldChar w:fldCharType="end"/>
      </w:r>
      <w:bookmarkEnd w:id="2344"/>
      <w:r>
        <w:t xml:space="preserve"> — </w:t>
      </w:r>
      <w:bookmarkStart w:id="2345" w:name="_Hlk205804215"/>
      <w:r>
        <w:t>Раздел «Авансы и снятия». Авансы</w:t>
      </w:r>
      <w:bookmarkEnd w:id="2345"/>
    </w:p>
    <w:p w14:paraId="34E87532">
      <w:pPr>
        <w:pStyle w:val="69"/>
      </w:pPr>
      <w:r>
        <w:t xml:space="preserve">Для переключения между подразделами «Авансы» и «Снятия» необходимо нажать на текущее состояние (рис. </w:t>
      </w:r>
      <w:r>
        <w:fldChar w:fldCharType="begin"/>
      </w:r>
      <w:r>
        <w:instrText xml:space="preserve"> REF  _Ref162520841 \h\#\0   \* MERGEFORMAT </w:instrText>
      </w:r>
      <w:r>
        <w:fldChar w:fldCharType="separate"/>
      </w:r>
      <w:r>
        <w:t>87</w:t>
      </w:r>
      <w:r>
        <w:fldChar w:fldCharType="end"/>
      </w:r>
      <w:r>
        <w:t xml:space="preserve">) и в раскрывающемся списке выбрать требуемый вариант: </w:t>
      </w:r>
      <w:bookmarkStart w:id="2346" w:name="_Hlk206005160"/>
      <w:r>
        <w:t xml:space="preserve">«Авансы» </w:t>
      </w:r>
      <w:bookmarkEnd w:id="2346"/>
      <w:r>
        <w:t>или «Снятия».</w:t>
      </w:r>
    </w:p>
    <w:p w14:paraId="084C9EB2">
      <w:pPr>
        <w:pStyle w:val="73"/>
      </w:pPr>
      <w:r>
        <w:drawing>
          <wp:inline distT="0" distB="0" distL="0" distR="0">
            <wp:extent cx="2879725" cy="943610"/>
            <wp:effectExtent l="19050" t="19050" r="15875" b="27940"/>
            <wp:docPr id="14041012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101221" name="Рисунок 1"/>
                    <pic:cNvPicPr>
                      <a:picLocks noChangeAspect="1"/>
                    </pic:cNvPicPr>
                  </pic:nvPicPr>
                  <pic:blipFill>
                    <a:blip r:embed="rId117"/>
                    <a:stretch>
                      <a:fillRect/>
                    </a:stretch>
                  </pic:blipFill>
                  <pic:spPr>
                    <a:xfrm>
                      <a:off x="0" y="0"/>
                      <a:ext cx="2880000" cy="943763"/>
                    </a:xfrm>
                    <a:prstGeom prst="rect">
                      <a:avLst/>
                    </a:prstGeom>
                    <a:ln w="3175" cmpd="sng">
                      <a:solidFill>
                        <a:srgbClr val="000000"/>
                      </a:solidFill>
                    </a:ln>
                  </pic:spPr>
                </pic:pic>
              </a:graphicData>
            </a:graphic>
          </wp:inline>
        </w:drawing>
      </w:r>
    </w:p>
    <w:p w14:paraId="76DC6CD3">
      <w:pPr>
        <w:pStyle w:val="74"/>
      </w:pPr>
      <w:bookmarkStart w:id="2347" w:name="_Ref162520841"/>
      <w:r>
        <w:t xml:space="preserve">Рисунок </w:t>
      </w:r>
      <w:r>
        <w:fldChar w:fldCharType="begin"/>
      </w:r>
      <w:r>
        <w:instrText xml:space="preserve"> SEQ Рисунок \* ARABIC </w:instrText>
      </w:r>
      <w:r>
        <w:fldChar w:fldCharType="separate"/>
      </w:r>
      <w:r>
        <w:t>87</w:t>
      </w:r>
      <w:r>
        <w:fldChar w:fldCharType="end"/>
      </w:r>
      <w:bookmarkEnd w:id="2347"/>
      <w:r>
        <w:t xml:space="preserve"> — Переключение между авансами и снятиями</w:t>
      </w:r>
    </w:p>
    <w:p w14:paraId="7D4849D0">
      <w:pPr>
        <w:pStyle w:val="69"/>
      </w:pPr>
      <w:r>
        <w:t xml:space="preserve">В блоке «Фильтр» доступен выбор отчетного периода. Для этого выбрать в календаре месяц и год и подтвердить выбор нажатием кнопки «Найти» (рис. </w:t>
      </w:r>
      <w:r>
        <w:fldChar w:fldCharType="begin"/>
      </w:r>
      <w:r>
        <w:instrText xml:space="preserve"> REF  _Ref162521002 \h\#\0   \* MERGEFORMAT </w:instrText>
      </w:r>
      <w:r>
        <w:fldChar w:fldCharType="separate"/>
      </w:r>
      <w:r>
        <w:t>88</w:t>
      </w:r>
      <w:r>
        <w:fldChar w:fldCharType="end"/>
      </w:r>
      <w:r>
        <w:t>).</w:t>
      </w:r>
    </w:p>
    <w:p w14:paraId="7E724EEA">
      <w:pPr>
        <w:pStyle w:val="73"/>
      </w:pPr>
      <w:r>
        <w:drawing>
          <wp:inline distT="0" distB="0" distL="0" distR="0">
            <wp:extent cx="2159635" cy="3479165"/>
            <wp:effectExtent l="19050" t="19050" r="12065" b="26035"/>
            <wp:docPr id="56368759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687591" name="Рисунок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160000" cy="3479183"/>
                    </a:xfrm>
                    <a:prstGeom prst="rect">
                      <a:avLst/>
                    </a:prstGeom>
                    <a:noFill/>
                    <a:ln w="3175" cmpd="sng">
                      <a:solidFill>
                        <a:srgbClr val="000000"/>
                      </a:solidFill>
                    </a:ln>
                  </pic:spPr>
                </pic:pic>
              </a:graphicData>
            </a:graphic>
          </wp:inline>
        </w:drawing>
      </w:r>
    </w:p>
    <w:p w14:paraId="545EB616">
      <w:pPr>
        <w:pStyle w:val="74"/>
      </w:pPr>
      <w:bookmarkStart w:id="2348" w:name="_Ref162521002"/>
      <w:r>
        <w:t xml:space="preserve">Рисунок </w:t>
      </w:r>
      <w:r>
        <w:fldChar w:fldCharType="begin"/>
      </w:r>
      <w:r>
        <w:instrText xml:space="preserve"> SEQ Рисунок \* ARABIC </w:instrText>
      </w:r>
      <w:r>
        <w:fldChar w:fldCharType="separate"/>
      </w:r>
      <w:r>
        <w:t>88</w:t>
      </w:r>
      <w:r>
        <w:fldChar w:fldCharType="end"/>
      </w:r>
      <w:bookmarkEnd w:id="2348"/>
      <w:r>
        <w:t xml:space="preserve"> — Выбор отчетного периода</w:t>
      </w:r>
    </w:p>
    <w:p w14:paraId="1DFCC1F1">
      <w:pPr>
        <w:pStyle w:val="69"/>
      </w:pPr>
      <w:bookmarkStart w:id="2349" w:name="_Hlk206125203"/>
      <w:r>
        <w:t>В рабочей области отобразится список МО с показателями по авансированию/снятиям по каждой МО, отнесенной к плательщику</w:t>
      </w:r>
      <w:bookmarkEnd w:id="2349"/>
      <w:r>
        <w:t>.</w:t>
      </w:r>
    </w:p>
    <w:p w14:paraId="4489E5E0">
      <w:pPr>
        <w:pStyle w:val="69"/>
      </w:pPr>
      <w:bookmarkStart w:id="2350" w:name="_Hlk206125176"/>
      <w:r>
        <w:t>Общие сведения содержат следующие данные:</w:t>
      </w:r>
    </w:p>
    <w:p w14:paraId="0CABF5E9">
      <w:pPr>
        <w:pStyle w:val="76"/>
      </w:pPr>
      <w:r>
        <w:t>«Отчетный период» — выбранный отчетный период в формате ММ.ГГГГ;</w:t>
      </w:r>
    </w:p>
    <w:p w14:paraId="48B787F9">
      <w:pPr>
        <w:pStyle w:val="76"/>
      </w:pPr>
      <w:r>
        <w:t>«Код МО в системе ОМС»;</w:t>
      </w:r>
    </w:p>
    <w:p w14:paraId="68CE22E3">
      <w:pPr>
        <w:pStyle w:val="76"/>
      </w:pPr>
      <w:r>
        <w:t>«Краткое наименование МО»;</w:t>
      </w:r>
    </w:p>
    <w:p w14:paraId="2DE5892C">
      <w:pPr>
        <w:pStyle w:val="76"/>
      </w:pPr>
      <w:r>
        <w:t>«Код плательщика»;</w:t>
      </w:r>
    </w:p>
    <w:p w14:paraId="24F81D4A">
      <w:pPr>
        <w:pStyle w:val="76"/>
      </w:pPr>
      <w:r>
        <w:t>«Краткое наименование плательщика»;</w:t>
      </w:r>
    </w:p>
    <w:p w14:paraId="52B9923A">
      <w:pPr>
        <w:pStyle w:val="76"/>
      </w:pPr>
      <w:bookmarkStart w:id="2351" w:name="_Hlk205804533"/>
      <w:r>
        <w:t>«Код типа счёта».</w:t>
      </w:r>
    </w:p>
    <w:bookmarkEnd w:id="2350"/>
    <w:bookmarkEnd w:id="2351"/>
    <w:p w14:paraId="4ECBF165">
      <w:pPr>
        <w:pStyle w:val="69"/>
      </w:pPr>
      <w:bookmarkStart w:id="2352" w:name="_Hlk205804580"/>
      <w:r>
        <w:t>Сведения по авансированию МО содержат следующие показатели:</w:t>
      </w:r>
    </w:p>
    <w:p w14:paraId="1C05359E">
      <w:pPr>
        <w:pStyle w:val="76"/>
      </w:pPr>
      <w:r>
        <w:t>«Аванс по подушевому финансированию (руб.)» — сумма аванса по подушевому финансированию, в рублях;</w:t>
      </w:r>
    </w:p>
    <w:p w14:paraId="0659467F">
      <w:pPr>
        <w:pStyle w:val="76"/>
      </w:pPr>
      <w:r>
        <w:t>«Аванс вне подушевого финансирования (руб.)» — сумма аванса вне подушевого финансирования, в рублях;</w:t>
      </w:r>
    </w:p>
    <w:p w14:paraId="7566B17D">
      <w:pPr>
        <w:pStyle w:val="76"/>
        <w:keepNext/>
      </w:pPr>
      <w:r>
        <w:t>«Признак скорой помощи» — признак условий оказания медицинской помощи. Возможные значения:</w:t>
      </w:r>
    </w:p>
    <w:p w14:paraId="7FB3F7C0">
      <w:pPr>
        <w:pStyle w:val="78"/>
      </w:pPr>
      <w:r>
        <w:t>0 — нет;</w:t>
      </w:r>
    </w:p>
    <w:p w14:paraId="36347DF5">
      <w:pPr>
        <w:pStyle w:val="78"/>
      </w:pPr>
      <w:r>
        <w:t>1 — скорая медицинская помощь;</w:t>
      </w:r>
    </w:p>
    <w:p w14:paraId="0F21ABEF">
      <w:pPr>
        <w:pStyle w:val="78"/>
      </w:pPr>
      <w:r>
        <w:t>2 — неотложная медицинская помощь.</w:t>
      </w:r>
    </w:p>
    <w:bookmarkEnd w:id="2352"/>
    <w:p w14:paraId="498C9273">
      <w:pPr>
        <w:pStyle w:val="69"/>
      </w:pPr>
      <w:bookmarkStart w:id="2353" w:name="_Hlk163122855"/>
      <w:r>
        <w:t>Сведения о снятиях по результатам экспертиз и перерасчетам содержат следующие показатели:</w:t>
      </w:r>
    </w:p>
    <w:p w14:paraId="12F98758">
      <w:pPr>
        <w:pStyle w:val="76"/>
      </w:pPr>
      <w:r>
        <w:t>«Сумма удержаний по МЭЭ (руб.) в ПФ» — сумма удержаний по МЭЭ в пределах подушевого финансирования, в рублях;</w:t>
      </w:r>
    </w:p>
    <w:p w14:paraId="6D8B9974">
      <w:pPr>
        <w:pStyle w:val="76"/>
      </w:pPr>
      <w:r>
        <w:t>«Сумма удержаний по МЭЭ (руб.) вне ПФ» — сумма удержаний по МЭЭ вне пределов подушевого финансирования, в рублях;</w:t>
      </w:r>
    </w:p>
    <w:p w14:paraId="32F3087C">
      <w:pPr>
        <w:pStyle w:val="76"/>
      </w:pPr>
      <w:r>
        <w:t>«Сумма удержаний по ЭКМП (руб.) в ПФ» — сумма удержаний по ЭКМП в пределах подушевого финансирования, в рублях;</w:t>
      </w:r>
    </w:p>
    <w:p w14:paraId="5BE03FA2">
      <w:pPr>
        <w:pStyle w:val="76"/>
      </w:pPr>
      <w:r>
        <w:t>«Сумма удержаний по ЭКМП (руб.) вне ПФ» — сумма удержаний по ЭКМП вне пределов подушевого финансирования, в рублях;</w:t>
      </w:r>
    </w:p>
    <w:p w14:paraId="774E5058">
      <w:pPr>
        <w:pStyle w:val="76"/>
      </w:pPr>
      <w:r>
        <w:t>«Признак скорой помощи» — признак скорой помощи:</w:t>
      </w:r>
    </w:p>
    <w:p w14:paraId="1F1947A4">
      <w:pPr>
        <w:pStyle w:val="78"/>
      </w:pPr>
      <w:r>
        <w:t>0 — нет;</w:t>
      </w:r>
    </w:p>
    <w:p w14:paraId="1107EAFD">
      <w:pPr>
        <w:pStyle w:val="78"/>
      </w:pPr>
      <w:r>
        <w:t>1 — скорая медицинская помощь;</w:t>
      </w:r>
    </w:p>
    <w:p w14:paraId="554A94B0">
      <w:pPr>
        <w:pStyle w:val="78"/>
      </w:pPr>
      <w:r>
        <w:t>2 — неотложная медицинская помощь.</w:t>
      </w:r>
    </w:p>
    <w:bookmarkEnd w:id="2353"/>
    <w:p w14:paraId="4141AFFF">
      <w:pPr>
        <w:pStyle w:val="60"/>
      </w:pPr>
      <w:bookmarkStart w:id="2354" w:name="_Toc162361916"/>
      <w:bookmarkEnd w:id="2354"/>
      <w:bookmarkStart w:id="2355" w:name="_Toc158722298"/>
      <w:bookmarkEnd w:id="2355"/>
      <w:bookmarkStart w:id="2356" w:name="_Toc158722299"/>
      <w:bookmarkEnd w:id="2356"/>
      <w:bookmarkStart w:id="2357" w:name="_Toc158723029"/>
      <w:bookmarkEnd w:id="2357"/>
      <w:bookmarkStart w:id="2358" w:name="_Toc158721564"/>
      <w:bookmarkEnd w:id="2358"/>
      <w:bookmarkStart w:id="2359" w:name="_Toc158734273"/>
      <w:bookmarkEnd w:id="2359"/>
      <w:bookmarkStart w:id="2360" w:name="_Toc158721563"/>
      <w:bookmarkEnd w:id="2360"/>
      <w:bookmarkStart w:id="2361" w:name="_Toc158722297"/>
      <w:bookmarkEnd w:id="2361"/>
      <w:bookmarkStart w:id="2362" w:name="_Toc158723028"/>
      <w:bookmarkEnd w:id="2362"/>
      <w:bookmarkStart w:id="2363" w:name="_Toc158721565"/>
      <w:bookmarkEnd w:id="2363"/>
      <w:bookmarkStart w:id="2364" w:name="_Toc158719727"/>
      <w:bookmarkEnd w:id="2364"/>
      <w:bookmarkStart w:id="2365" w:name="_Toc158720461"/>
      <w:bookmarkEnd w:id="2365"/>
      <w:bookmarkStart w:id="2366" w:name="_Toc158719730"/>
      <w:bookmarkEnd w:id="2366"/>
      <w:bookmarkStart w:id="2367" w:name="_Toc158720462"/>
      <w:bookmarkEnd w:id="2367"/>
      <w:bookmarkStart w:id="2368" w:name="_Toc158723027"/>
      <w:bookmarkEnd w:id="2368"/>
      <w:bookmarkStart w:id="2369" w:name="_Toc158720460"/>
      <w:bookmarkEnd w:id="2369"/>
      <w:bookmarkStart w:id="2370" w:name="_Toc158734275"/>
      <w:bookmarkEnd w:id="2370"/>
      <w:bookmarkStart w:id="2371" w:name="_Toc162359829"/>
      <w:bookmarkEnd w:id="2371"/>
      <w:bookmarkStart w:id="2372" w:name="_Toc158722300"/>
      <w:bookmarkEnd w:id="2372"/>
      <w:bookmarkStart w:id="2373" w:name="_Toc162359828"/>
      <w:bookmarkEnd w:id="2373"/>
      <w:bookmarkStart w:id="2374" w:name="_Toc162361915"/>
      <w:bookmarkEnd w:id="2374"/>
      <w:bookmarkStart w:id="2375" w:name="_Toc158734274"/>
      <w:bookmarkEnd w:id="2375"/>
      <w:bookmarkStart w:id="2376" w:name="_Toc158734276"/>
      <w:bookmarkEnd w:id="2376"/>
      <w:bookmarkStart w:id="2377" w:name="_Toc158719729"/>
      <w:bookmarkEnd w:id="2377"/>
      <w:bookmarkStart w:id="2378" w:name="_Toc158720459"/>
      <w:bookmarkEnd w:id="2378"/>
      <w:bookmarkStart w:id="2379" w:name="_Toc158719728"/>
      <w:bookmarkEnd w:id="2379"/>
      <w:bookmarkStart w:id="2380" w:name="_Toc162359830"/>
      <w:bookmarkEnd w:id="2380"/>
      <w:bookmarkStart w:id="2381" w:name="_Toc158721566"/>
      <w:bookmarkEnd w:id="2381"/>
      <w:bookmarkStart w:id="2382" w:name="_Toc162361917"/>
      <w:bookmarkEnd w:id="2382"/>
      <w:bookmarkStart w:id="2383" w:name="_Toc162359827"/>
      <w:bookmarkEnd w:id="2383"/>
      <w:bookmarkStart w:id="2384" w:name="_Toc158723030"/>
      <w:bookmarkEnd w:id="2384"/>
      <w:bookmarkStart w:id="2385" w:name="_Toc162361914"/>
      <w:bookmarkEnd w:id="2385"/>
      <w:bookmarkStart w:id="2386" w:name="_Ref163042529"/>
      <w:bookmarkStart w:id="2387" w:name="_Ref206005013"/>
      <w:bookmarkStart w:id="2388" w:name="_Toc225866347"/>
      <w:bookmarkStart w:id="2389" w:name="_Ref142476953"/>
      <w:bookmarkStart w:id="2390" w:name="_Toc150261770"/>
      <w:bookmarkStart w:id="2391" w:name="_Toc156210360"/>
      <w:bookmarkStart w:id="2392" w:name="_Toc149209664"/>
      <w:bookmarkStart w:id="2393" w:name="_Ref150434263"/>
      <w:r>
        <w:t xml:space="preserve">Загрузка сведений </w:t>
      </w:r>
      <w:bookmarkEnd w:id="2386"/>
      <w:r>
        <w:t>об авансировании</w:t>
      </w:r>
      <w:bookmarkEnd w:id="2387"/>
      <w:bookmarkEnd w:id="2388"/>
    </w:p>
    <w:p w14:paraId="4A408A45">
      <w:pPr>
        <w:pStyle w:val="69"/>
      </w:pPr>
      <w:r>
        <w:t>Операция доступна пользователю с ролью Плательщик ТФОМС.</w:t>
      </w:r>
    </w:p>
    <w:p w14:paraId="7F4F4243">
      <w:pPr>
        <w:pStyle w:val="69"/>
      </w:pPr>
      <w:r>
        <w:t>Сведения об авансировании медицинских организаций загружаются для каждого отчетного периода по единому шаблону.</w:t>
      </w:r>
    </w:p>
    <w:p w14:paraId="30C853E6">
      <w:pPr>
        <w:pStyle w:val="69"/>
      </w:pPr>
      <w:bookmarkStart w:id="2394" w:name="_Hlk165028371"/>
      <w:r>
        <w:t xml:space="preserve">Чтобы выгрузить шаблон для внесения данных об авансировании, необходимо перейти в подраздел </w:t>
      </w:r>
      <w:bookmarkEnd w:id="2394"/>
      <w:r>
        <w:t xml:space="preserve">«Авансы», нажать кнопку «Экспортировать шаблон» (рис. </w:t>
      </w:r>
      <w:r>
        <w:fldChar w:fldCharType="begin"/>
      </w:r>
      <w:r>
        <w:instrText xml:space="preserve"> REF  _Ref162527171 \h\#\0   \* MERGEFORMAT </w:instrText>
      </w:r>
      <w:r>
        <w:fldChar w:fldCharType="separate"/>
      </w:r>
      <w:r>
        <w:t>89</w:t>
      </w:r>
      <w:r>
        <w:fldChar w:fldCharType="end"/>
      </w:r>
      <w:r>
        <w:t>). Файл выгрузится в формате XLSX.</w:t>
      </w:r>
    </w:p>
    <w:p w14:paraId="4707A3E4">
      <w:pPr>
        <w:pStyle w:val="73"/>
      </w:pPr>
      <w:r>
        <w:drawing>
          <wp:inline distT="0" distB="0" distL="0" distR="0">
            <wp:extent cx="6119495" cy="1470660"/>
            <wp:effectExtent l="19050" t="19050" r="14605" b="15240"/>
            <wp:docPr id="4771674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167445" name="Рисунок 1"/>
                    <pic:cNvPicPr>
                      <a:picLocks noChangeAspect="1"/>
                    </pic:cNvPicPr>
                  </pic:nvPicPr>
                  <pic:blipFill>
                    <a:blip r:embed="rId119"/>
                    <a:stretch>
                      <a:fillRect/>
                    </a:stretch>
                  </pic:blipFill>
                  <pic:spPr>
                    <a:xfrm>
                      <a:off x="0" y="0"/>
                      <a:ext cx="6119495" cy="1470660"/>
                    </a:xfrm>
                    <a:prstGeom prst="rect">
                      <a:avLst/>
                    </a:prstGeom>
                    <a:ln w="3175" cmpd="sng">
                      <a:solidFill>
                        <a:srgbClr val="000000"/>
                      </a:solidFill>
                    </a:ln>
                  </pic:spPr>
                </pic:pic>
              </a:graphicData>
            </a:graphic>
          </wp:inline>
        </w:drawing>
      </w:r>
    </w:p>
    <w:p w14:paraId="26696356">
      <w:pPr>
        <w:pStyle w:val="74"/>
      </w:pPr>
      <w:bookmarkStart w:id="2395" w:name="_Ref162527171"/>
      <w:r>
        <w:t xml:space="preserve">Рисунок </w:t>
      </w:r>
      <w:r>
        <w:fldChar w:fldCharType="begin"/>
      </w:r>
      <w:r>
        <w:instrText xml:space="preserve"> SEQ Рисунок \* ARABIC </w:instrText>
      </w:r>
      <w:r>
        <w:fldChar w:fldCharType="separate"/>
      </w:r>
      <w:r>
        <w:t>89</w:t>
      </w:r>
      <w:r>
        <w:fldChar w:fldCharType="end"/>
      </w:r>
      <w:bookmarkEnd w:id="2395"/>
      <w:r>
        <w:t xml:space="preserve"> — Выгрузка шаблона показателей по авансированию</w:t>
      </w:r>
    </w:p>
    <w:p w14:paraId="2BF7EFEB">
      <w:pPr>
        <w:pStyle w:val="69"/>
      </w:pPr>
      <w:r>
        <w:t xml:space="preserve">Шаблон содержит список медицинских организаций, отнесенных к данному плательщику (ТФОМС). Структура выгруженного шаблона соответствует структуре формы подраздела «Авансы» (рис. </w:t>
      </w:r>
      <w:r>
        <w:fldChar w:fldCharType="begin"/>
      </w:r>
      <w:r>
        <w:instrText xml:space="preserve"> REF  _Ref162527675 \h\#\0   \* MERGEFORMAT </w:instrText>
      </w:r>
      <w:r>
        <w:fldChar w:fldCharType="separate"/>
      </w:r>
      <w:r>
        <w:t>86</w:t>
      </w:r>
      <w:r>
        <w:fldChar w:fldCharType="end"/>
      </w:r>
      <w:r>
        <w:t>). При этом:</w:t>
      </w:r>
    </w:p>
    <w:p w14:paraId="4A0E29A3">
      <w:pPr>
        <w:pStyle w:val="75"/>
        <w:numPr>
          <w:ilvl w:val="0"/>
          <w:numId w:val="22"/>
        </w:numPr>
      </w:pPr>
      <w:r>
        <w:t xml:space="preserve">если загрузка </w:t>
      </w:r>
      <w:bookmarkStart w:id="2396" w:name="_Hlk165018675"/>
      <w:r>
        <w:t xml:space="preserve">сведений об авансировании </w:t>
      </w:r>
      <w:bookmarkEnd w:id="2396"/>
      <w:r>
        <w:t xml:space="preserve">в данном отчетном периоде не производилась, то шаблон выгружается с нулевыми значениями в столбцах </w:t>
      </w:r>
      <w:bookmarkStart w:id="2397" w:name="_Hlk165018729"/>
      <w:r>
        <w:t xml:space="preserve">с показателями суммы </w:t>
      </w:r>
      <w:bookmarkEnd w:id="2397"/>
      <w:r>
        <w:t>авансирования;</w:t>
      </w:r>
    </w:p>
    <w:p w14:paraId="407BA8CF">
      <w:pPr>
        <w:pStyle w:val="75"/>
      </w:pPr>
      <w:r>
        <w:t>если сведения об авансировании для данного отчетного периода загружались, то при последующей выгрузке шаблона значения в столбцах с показателями суммы авансирования заполнены данными, соответствующими последней загрузке авансов в данный отчетный период.</w:t>
      </w:r>
    </w:p>
    <w:p w14:paraId="2D3CB4CB">
      <w:pPr>
        <w:pStyle w:val="69"/>
        <w:keepNext/>
      </w:pPr>
      <w:bookmarkStart w:id="2398" w:name="_Hlk166589957"/>
      <w:r>
        <w:t>Заполнить выгруженный шаблон актуальными значениями и сохранить в формате XLSX. При заполнении шаблона необходимо соблюдать следующие правила:</w:t>
      </w:r>
    </w:p>
    <w:p w14:paraId="75E619C3">
      <w:pPr>
        <w:pStyle w:val="76"/>
        <w:keepNext/>
      </w:pPr>
      <w:bookmarkStart w:id="2399" w:name="_Hlk206125262"/>
      <w:r>
        <w:t>все данные должны располагаться на одном листе;</w:t>
      </w:r>
    </w:p>
    <w:p w14:paraId="5FF2F7CD">
      <w:pPr>
        <w:pStyle w:val="76"/>
      </w:pPr>
      <w:r>
        <w:t>порядок расположения столбцов должен соответствовать расположению столбцов в шаблоне — не допускается изменение порядка следования столбцов;</w:t>
      </w:r>
    </w:p>
    <w:p w14:paraId="2826455D">
      <w:pPr>
        <w:pStyle w:val="76"/>
      </w:pPr>
      <w:r>
        <w:t>значения сумм — числовой формат, не более двух знаков после запятой;</w:t>
      </w:r>
    </w:p>
    <w:p w14:paraId="578E4E78">
      <w:pPr>
        <w:pStyle w:val="76"/>
      </w:pPr>
      <w:r>
        <w:t>строки не должны содержать формулы внутри ячеек;</w:t>
      </w:r>
    </w:p>
    <w:p w14:paraId="54D9CB16">
      <w:pPr>
        <w:pStyle w:val="76"/>
      </w:pPr>
      <w:r>
        <w:t>должна присутствовать хотя бы одна запись.</w:t>
      </w:r>
    </w:p>
    <w:bookmarkEnd w:id="2398"/>
    <w:bookmarkEnd w:id="2399"/>
    <w:p w14:paraId="58883653">
      <w:pPr>
        <w:pStyle w:val="69"/>
      </w:pPr>
      <w:bookmarkStart w:id="2400" w:name="_Hlk206125399"/>
      <w:r>
        <w:t xml:space="preserve">Чтобы загрузить заполненный шаблон со сведениями об авансировании МО, нажать кнопку «Импортировать шаблон» (рис. </w:t>
      </w:r>
      <w:r>
        <w:fldChar w:fldCharType="begin"/>
      </w:r>
      <w:r>
        <w:instrText xml:space="preserve"> REF  _Ref171359328 \h\#\0   \* MERGEFORMAT </w:instrText>
      </w:r>
      <w:r>
        <w:fldChar w:fldCharType="separate"/>
      </w:r>
      <w:r>
        <w:t>90</w:t>
      </w:r>
      <w:r>
        <w:fldChar w:fldCharType="end"/>
      </w:r>
      <w:r>
        <w:t xml:space="preserve">) </w:t>
      </w:r>
      <w:bookmarkStart w:id="2401" w:name="_Hlk166590236"/>
      <w:r>
        <w:t>в подразделе «Авансы».</w:t>
      </w:r>
      <w:bookmarkEnd w:id="2401"/>
    </w:p>
    <w:p w14:paraId="216FD62C">
      <w:pPr>
        <w:pStyle w:val="73"/>
      </w:pPr>
      <w:r>
        <w:drawing>
          <wp:inline distT="0" distB="0" distL="0" distR="0">
            <wp:extent cx="6119495" cy="1470660"/>
            <wp:effectExtent l="19050" t="19050" r="14605" b="15240"/>
            <wp:docPr id="5667312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31234" name="Рисунок 1"/>
                    <pic:cNvPicPr>
                      <a:picLocks noChangeAspect="1"/>
                    </pic:cNvPicPr>
                  </pic:nvPicPr>
                  <pic:blipFill>
                    <a:blip r:embed="rId119"/>
                    <a:stretch>
                      <a:fillRect/>
                    </a:stretch>
                  </pic:blipFill>
                  <pic:spPr>
                    <a:xfrm>
                      <a:off x="0" y="0"/>
                      <a:ext cx="6119495" cy="1470660"/>
                    </a:xfrm>
                    <a:prstGeom prst="rect">
                      <a:avLst/>
                    </a:prstGeom>
                    <a:ln w="3175" cmpd="sng">
                      <a:solidFill>
                        <a:srgbClr val="000000"/>
                      </a:solidFill>
                    </a:ln>
                  </pic:spPr>
                </pic:pic>
              </a:graphicData>
            </a:graphic>
          </wp:inline>
        </w:drawing>
      </w:r>
    </w:p>
    <w:p w14:paraId="0065C368">
      <w:pPr>
        <w:pStyle w:val="74"/>
      </w:pPr>
      <w:bookmarkStart w:id="2402" w:name="_Ref171359328"/>
      <w:r>
        <w:t xml:space="preserve">Рисунок </w:t>
      </w:r>
      <w:r>
        <w:fldChar w:fldCharType="begin"/>
      </w:r>
      <w:r>
        <w:instrText xml:space="preserve"> SEQ Рисунок \* ARABIC </w:instrText>
      </w:r>
      <w:r>
        <w:fldChar w:fldCharType="separate"/>
      </w:r>
      <w:r>
        <w:t>90</w:t>
      </w:r>
      <w:r>
        <w:fldChar w:fldCharType="end"/>
      </w:r>
      <w:bookmarkEnd w:id="2402"/>
      <w:r>
        <w:t xml:space="preserve"> </w:t>
      </w:r>
      <w:bookmarkStart w:id="2403" w:name="_Ref171359327"/>
      <w:r>
        <w:t>—</w:t>
      </w:r>
      <w:bookmarkEnd w:id="2403"/>
      <w:r>
        <w:t xml:space="preserve"> Загрузка шаблона со сведениями об авансировании</w:t>
      </w:r>
    </w:p>
    <w:bookmarkEnd w:id="2400"/>
    <w:p w14:paraId="7C9901C3">
      <w:pPr>
        <w:pStyle w:val="69"/>
      </w:pPr>
      <w:r>
        <w:t xml:space="preserve">В открывшемся окне нажать кнопку «Выбрать» и выбрать файл со сведениями об авансировании или перетащить файл в область, выделенную пунктирной линией (рис. </w:t>
      </w:r>
      <w:r>
        <w:fldChar w:fldCharType="begin"/>
      </w:r>
      <w:r>
        <w:instrText xml:space="preserve"> REF  _Ref171359376 \h\#\0   \* MERGEFORMAT </w:instrText>
      </w:r>
      <w:r>
        <w:fldChar w:fldCharType="separate"/>
      </w:r>
      <w:r>
        <w:t>91</w:t>
      </w:r>
      <w:r>
        <w:fldChar w:fldCharType="end"/>
      </w:r>
      <w:r>
        <w:t>). Объем загружаемого файла не должен превышать 5 МБ.</w:t>
      </w:r>
    </w:p>
    <w:p w14:paraId="14E5A076">
      <w:pPr>
        <w:pStyle w:val="73"/>
      </w:pPr>
      <w:r>
        <w:drawing>
          <wp:inline distT="0" distB="0" distL="0" distR="0">
            <wp:extent cx="2879725" cy="1845310"/>
            <wp:effectExtent l="19050" t="19050" r="15875" b="21590"/>
            <wp:docPr id="1621863235" name="Рисунок 162186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863235" name="Рисунок 1621863235"/>
                    <pic:cNvPicPr>
                      <a:picLocks noChangeAspect="1"/>
                    </pic:cNvPicPr>
                  </pic:nvPicPr>
                  <pic:blipFill>
                    <a:blip r:embed="rId120"/>
                    <a:stretch>
                      <a:fillRect/>
                    </a:stretch>
                  </pic:blipFill>
                  <pic:spPr>
                    <a:xfrm>
                      <a:off x="0" y="0"/>
                      <a:ext cx="2880000" cy="1845531"/>
                    </a:xfrm>
                    <a:prstGeom prst="rect">
                      <a:avLst/>
                    </a:prstGeom>
                    <a:ln w="3175" cmpd="sng">
                      <a:solidFill>
                        <a:srgbClr val="000000"/>
                      </a:solidFill>
                    </a:ln>
                  </pic:spPr>
                </pic:pic>
              </a:graphicData>
            </a:graphic>
          </wp:inline>
        </w:drawing>
      </w:r>
    </w:p>
    <w:p w14:paraId="484983D7">
      <w:pPr>
        <w:pStyle w:val="74"/>
      </w:pPr>
      <w:bookmarkStart w:id="2404" w:name="_Ref171359376"/>
      <w:r>
        <w:t xml:space="preserve">Рисунок </w:t>
      </w:r>
      <w:r>
        <w:fldChar w:fldCharType="begin"/>
      </w:r>
      <w:r>
        <w:instrText xml:space="preserve"> SEQ Рисунок \* ARABIC </w:instrText>
      </w:r>
      <w:r>
        <w:fldChar w:fldCharType="separate"/>
      </w:r>
      <w:r>
        <w:t>91</w:t>
      </w:r>
      <w:r>
        <w:fldChar w:fldCharType="end"/>
      </w:r>
      <w:bookmarkEnd w:id="2404"/>
      <w:r>
        <w:t xml:space="preserve"> — Выбор файла для импорта</w:t>
      </w:r>
    </w:p>
    <w:p w14:paraId="4753B90E">
      <w:pPr>
        <w:pStyle w:val="69"/>
      </w:pPr>
      <w:r>
        <w:t xml:space="preserve">Загружаемый файл автоматически проверяется (валидируется) на соответствие как внутренней структуре, так и используемым справочникам. Если файл не удовлетворяет указанным выше требованиям, то отображается сообщение об ошибке (рис. </w:t>
      </w:r>
      <w:r>
        <w:fldChar w:fldCharType="begin"/>
      </w:r>
      <w:r>
        <w:instrText xml:space="preserve"> REF  _Ref171359384 \h\#\0   \* MERGEFORMAT </w:instrText>
      </w:r>
      <w:r>
        <w:fldChar w:fldCharType="separate"/>
      </w:r>
      <w:r>
        <w:t>92</w:t>
      </w:r>
      <w:r>
        <w:fldChar w:fldCharType="end"/>
      </w:r>
      <w:r>
        <w:t>).</w:t>
      </w:r>
    </w:p>
    <w:p w14:paraId="71EF21C7">
      <w:pPr>
        <w:pStyle w:val="73"/>
      </w:pPr>
      <w:r>
        <w:drawing>
          <wp:inline distT="0" distB="0" distL="0" distR="0">
            <wp:extent cx="4857750" cy="1257300"/>
            <wp:effectExtent l="19050" t="19050" r="19050" b="19050"/>
            <wp:docPr id="14703595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359576" name="Рисунок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4857750" cy="1257300"/>
                    </a:xfrm>
                    <a:prstGeom prst="rect">
                      <a:avLst/>
                    </a:prstGeom>
                    <a:noFill/>
                    <a:ln w="3175" cmpd="sng">
                      <a:solidFill>
                        <a:srgbClr val="000000"/>
                      </a:solidFill>
                    </a:ln>
                  </pic:spPr>
                </pic:pic>
              </a:graphicData>
            </a:graphic>
          </wp:inline>
        </w:drawing>
      </w:r>
    </w:p>
    <w:p w14:paraId="7DEFCB5F">
      <w:pPr>
        <w:pStyle w:val="74"/>
      </w:pPr>
      <w:bookmarkStart w:id="2405" w:name="_Ref171359384"/>
      <w:r>
        <w:t xml:space="preserve">Рисунок </w:t>
      </w:r>
      <w:r>
        <w:fldChar w:fldCharType="begin"/>
      </w:r>
      <w:r>
        <w:instrText xml:space="preserve"> SEQ Рисунок \* ARABIC </w:instrText>
      </w:r>
      <w:r>
        <w:fldChar w:fldCharType="separate"/>
      </w:r>
      <w:r>
        <w:t>92</w:t>
      </w:r>
      <w:r>
        <w:fldChar w:fldCharType="end"/>
      </w:r>
      <w:bookmarkEnd w:id="2405"/>
      <w:r>
        <w:t xml:space="preserve"> — Ошибка при загрузке файла</w:t>
      </w:r>
    </w:p>
    <w:p w14:paraId="7359F3EB">
      <w:pPr>
        <w:pStyle w:val="69"/>
      </w:pPr>
      <w:r>
        <w:t xml:space="preserve">При успешной загрузке файла отображается соответствующее сообщение (рис. </w:t>
      </w:r>
      <w:r>
        <w:fldChar w:fldCharType="begin"/>
      </w:r>
      <w:r>
        <w:instrText xml:space="preserve"> REF  _Ref171359393 \h\#\0   \* MERGEFORMAT </w:instrText>
      </w:r>
      <w:r>
        <w:fldChar w:fldCharType="separate"/>
      </w:r>
      <w:r>
        <w:t>93</w:t>
      </w:r>
      <w:r>
        <w:fldChar w:fldCharType="end"/>
      </w:r>
      <w:r>
        <w:t>).</w:t>
      </w:r>
    </w:p>
    <w:p w14:paraId="5CEF7AAD">
      <w:pPr>
        <w:pStyle w:val="73"/>
      </w:pPr>
      <w:r>
        <w:drawing>
          <wp:inline distT="0" distB="0" distL="0" distR="0">
            <wp:extent cx="2519680" cy="864235"/>
            <wp:effectExtent l="19050" t="19050" r="13970" b="12065"/>
            <wp:docPr id="4381318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131846" name="Рисунок 1"/>
                    <pic:cNvPicPr>
                      <a:picLocks noChangeAspect="1"/>
                    </pic:cNvPicPr>
                  </pic:nvPicPr>
                  <pic:blipFill>
                    <a:blip r:embed="rId122"/>
                    <a:stretch>
                      <a:fillRect/>
                    </a:stretch>
                  </pic:blipFill>
                  <pic:spPr>
                    <a:xfrm>
                      <a:off x="0" y="0"/>
                      <a:ext cx="2520000" cy="864525"/>
                    </a:xfrm>
                    <a:prstGeom prst="rect">
                      <a:avLst/>
                    </a:prstGeom>
                    <a:ln w="3175" cmpd="sng">
                      <a:solidFill>
                        <a:srgbClr val="000000"/>
                      </a:solidFill>
                    </a:ln>
                  </pic:spPr>
                </pic:pic>
              </a:graphicData>
            </a:graphic>
          </wp:inline>
        </w:drawing>
      </w:r>
    </w:p>
    <w:p w14:paraId="6A4225DF">
      <w:pPr>
        <w:pStyle w:val="74"/>
      </w:pPr>
      <w:bookmarkStart w:id="2406" w:name="_Ref171359393"/>
      <w:r>
        <w:t xml:space="preserve">Рисунок </w:t>
      </w:r>
      <w:r>
        <w:fldChar w:fldCharType="begin"/>
      </w:r>
      <w:r>
        <w:instrText xml:space="preserve"> SEQ Рисунок \* ARABIC </w:instrText>
      </w:r>
      <w:r>
        <w:fldChar w:fldCharType="separate"/>
      </w:r>
      <w:r>
        <w:t>93</w:t>
      </w:r>
      <w:r>
        <w:fldChar w:fldCharType="end"/>
      </w:r>
      <w:bookmarkEnd w:id="2406"/>
      <w:r>
        <w:t xml:space="preserve"> — Сообщение об успешной загрузке файла</w:t>
      </w:r>
    </w:p>
    <w:p w14:paraId="06B3D2DA">
      <w:pPr>
        <w:pStyle w:val="69"/>
      </w:pPr>
      <w:r>
        <w:t>После успешной загрузки файла сведения об авансировании отображаются в рабочей области, доступны для выгрузки и автоматически учитываются при формировании финального ответа плательщика.</w:t>
      </w:r>
    </w:p>
    <w:p w14:paraId="50146C71">
      <w:pPr>
        <w:pStyle w:val="69"/>
      </w:pPr>
      <w:r>
        <w:t xml:space="preserve">Для просмотра истории загрузок, необходимо навести курсор на иконку </w:t>
      </w:r>
      <w:r>
        <w:drawing>
          <wp:inline distT="0" distB="0" distL="0" distR="0">
            <wp:extent cx="161925" cy="171450"/>
            <wp:effectExtent l="19050" t="19050" r="28575" b="19050"/>
            <wp:docPr id="17630447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044754" name="Рисунок 1"/>
                    <pic:cNvPicPr>
                      <a:picLocks noChangeAspect="1"/>
                    </pic:cNvPicPr>
                  </pic:nvPicPr>
                  <pic:blipFill>
                    <a:blip r:embed="rId123"/>
                    <a:stretch>
                      <a:fillRect/>
                    </a:stretch>
                  </pic:blipFill>
                  <pic:spPr>
                    <a:xfrm>
                      <a:off x="0" y="0"/>
                      <a:ext cx="161948" cy="171474"/>
                    </a:xfrm>
                    <a:prstGeom prst="rect">
                      <a:avLst/>
                    </a:prstGeom>
                    <a:ln w="3175" cmpd="sng">
                      <a:solidFill>
                        <a:srgbClr val="000000"/>
                      </a:solidFill>
                    </a:ln>
                  </pic:spPr>
                </pic:pic>
              </a:graphicData>
            </a:graphic>
          </wp:inline>
        </w:drawing>
      </w:r>
      <w:r>
        <w:t xml:space="preserve">. Данная пиктограмма появляется после первой загрузки шаблона и находится в заголовке рабочей области, справа от подраздела «Авансы» (рис. </w:t>
      </w:r>
      <w:r>
        <w:fldChar w:fldCharType="begin"/>
      </w:r>
      <w:r>
        <w:instrText xml:space="preserve"> REF  _Ref224038048 \h \t \#\0 \* MERGEFORMAT </w:instrText>
      </w:r>
      <w:r>
        <w:fldChar w:fldCharType="separate"/>
      </w:r>
      <w:r>
        <w:t>94</w:t>
      </w:r>
      <w:r>
        <w:fldChar w:fldCharType="end"/>
      </w:r>
      <w:r>
        <w:t>).</w:t>
      </w:r>
    </w:p>
    <w:p w14:paraId="3A911081">
      <w:pPr>
        <w:pStyle w:val="73"/>
      </w:pPr>
      <w:r>
        <w:drawing>
          <wp:inline distT="0" distB="0" distL="0" distR="0">
            <wp:extent cx="4576445" cy="1957070"/>
            <wp:effectExtent l="0" t="0" r="0" b="5080"/>
            <wp:docPr id="8002937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93732" name="Рисунок 1"/>
                    <pic:cNvPicPr>
                      <a:picLocks noChangeAspect="1" noChangeArrowheads="1"/>
                    </pic:cNvPicPr>
                  </pic:nvPicPr>
                  <pic:blipFill>
                    <a:blip r:embed="rId124"/>
                    <a:stretch>
                      <a:fillRect/>
                    </a:stretch>
                  </pic:blipFill>
                  <pic:spPr>
                    <a:xfrm>
                      <a:off x="0" y="0"/>
                      <a:ext cx="4576649" cy="1957070"/>
                    </a:xfrm>
                    <a:prstGeom prst="rect">
                      <a:avLst/>
                    </a:prstGeom>
                    <a:noFill/>
                  </pic:spPr>
                </pic:pic>
              </a:graphicData>
            </a:graphic>
          </wp:inline>
        </w:drawing>
      </w:r>
    </w:p>
    <w:p w14:paraId="6A32FC74">
      <w:pPr>
        <w:pStyle w:val="74"/>
      </w:pPr>
      <w:bookmarkStart w:id="2407" w:name="_Ref224038048"/>
      <w:r>
        <w:t xml:space="preserve">Рисунок </w:t>
      </w:r>
      <w:r>
        <w:fldChar w:fldCharType="begin"/>
      </w:r>
      <w:r>
        <w:instrText xml:space="preserve"> SEQ Рисунок \* ARABIC </w:instrText>
      </w:r>
      <w:r>
        <w:fldChar w:fldCharType="separate"/>
      </w:r>
      <w:r>
        <w:t>94</w:t>
      </w:r>
      <w:r>
        <w:fldChar w:fldCharType="end"/>
      </w:r>
      <w:bookmarkEnd w:id="2407"/>
      <w:r>
        <w:t xml:space="preserve"> — История загрузок шаблонов авансов</w:t>
      </w:r>
    </w:p>
    <w:p w14:paraId="410BD4F1">
      <w:pPr>
        <w:pStyle w:val="69"/>
      </w:pPr>
      <w:r>
        <w:t>История загрузок шаблонов состоит из следующих полей:</w:t>
      </w:r>
    </w:p>
    <w:p w14:paraId="7DF5037B">
      <w:pPr>
        <w:pStyle w:val="76"/>
      </w:pPr>
      <w:r>
        <w:t>Создатель – логин пользователя, который загрузил первый шаблон;</w:t>
      </w:r>
    </w:p>
    <w:p w14:paraId="3B936F09">
      <w:pPr>
        <w:pStyle w:val="76"/>
      </w:pPr>
      <w:r>
        <w:t>Редактор – логин пользователя, который загрузил последний шаблон;</w:t>
      </w:r>
    </w:p>
    <w:p w14:paraId="22176EBC">
      <w:pPr>
        <w:pStyle w:val="76"/>
      </w:pPr>
      <w:r>
        <w:t>Организация – наименование организации создателя;</w:t>
      </w:r>
    </w:p>
    <w:p w14:paraId="77FFDA31">
      <w:pPr>
        <w:pStyle w:val="76"/>
      </w:pPr>
      <w:r>
        <w:t>Дата загрузки – дата загрузки первого шаблона;</w:t>
      </w:r>
    </w:p>
    <w:p w14:paraId="2D6276F9">
      <w:pPr>
        <w:pStyle w:val="76"/>
      </w:pPr>
      <w:r>
        <w:t>Дата обновления – дата обновления последнего шаблона;</w:t>
      </w:r>
    </w:p>
    <w:p w14:paraId="357AFAF6">
      <w:pPr>
        <w:pStyle w:val="76"/>
      </w:pPr>
      <w:r>
        <w:t>Месяц – отчетный месяц;</w:t>
      </w:r>
    </w:p>
    <w:p w14:paraId="49FA744D">
      <w:pPr>
        <w:pStyle w:val="76"/>
      </w:pPr>
      <w:r>
        <w:t>Год – отчетный год;</w:t>
      </w:r>
    </w:p>
    <w:p w14:paraId="284C8C02">
      <w:pPr>
        <w:pStyle w:val="76"/>
      </w:pPr>
      <w:r>
        <w:t>Код ТФОМС – к которому относятся МО и Плательщик;</w:t>
      </w:r>
    </w:p>
    <w:p w14:paraId="080BF49D">
      <w:pPr>
        <w:pStyle w:val="76"/>
      </w:pPr>
      <w:r>
        <w:t>Поступление – канал получения последнего шаблона.</w:t>
      </w:r>
    </w:p>
    <w:p w14:paraId="584169E9">
      <w:pPr>
        <w:pStyle w:val="60"/>
      </w:pPr>
      <w:bookmarkStart w:id="2408" w:name="_Ref163042533"/>
      <w:bookmarkStart w:id="2409" w:name="_Toc225866348"/>
      <w:r>
        <w:t>Загрузка сведений о снятиях</w:t>
      </w:r>
      <w:bookmarkEnd w:id="2408"/>
      <w:bookmarkEnd w:id="2409"/>
    </w:p>
    <w:p w14:paraId="662D8D00">
      <w:pPr>
        <w:pStyle w:val="69"/>
      </w:pPr>
      <w:r>
        <w:t>Операция доступна пользователю с ролью Плательщик ФОМС.</w:t>
      </w:r>
    </w:p>
    <w:p w14:paraId="38770695">
      <w:pPr>
        <w:pStyle w:val="69"/>
      </w:pPr>
      <w:r>
        <w:t>Для учета и регистрации сведений о снятиях по перерасчетам и результатам экспертиз, не заведенных в ФПУМП, необходимо сформировать сведения о снятиях путем загрузки внешнего файла с показателями сумм удержаний.</w:t>
      </w:r>
    </w:p>
    <w:p w14:paraId="066032EE">
      <w:pPr>
        <w:pStyle w:val="69"/>
      </w:pPr>
      <w:r>
        <w:t>Сведения о снятиях формируются для каждого отчетного периода по единому шаблону.</w:t>
      </w:r>
    </w:p>
    <w:p w14:paraId="47FE2F30">
      <w:pPr>
        <w:pStyle w:val="69"/>
      </w:pPr>
      <w:r>
        <w:t>Чтобы выгрузить шаблон для внесения данных о снятиях, необходимо перейти в</w:t>
      </w:r>
      <w:r>
        <w:rPr>
          <w:lang w:val="en-US"/>
        </w:rPr>
        <w:t> </w:t>
      </w:r>
      <w:r>
        <w:t xml:space="preserve">подраздел «Снятия», нажать кнопку «Экспортировать шаблон» (рис. </w:t>
      </w:r>
      <w:r>
        <w:fldChar w:fldCharType="begin"/>
      </w:r>
      <w:r>
        <w:instrText xml:space="preserve"> REF  _Ref165028476 \h\#\0   \* MERGEFORMAT </w:instrText>
      </w:r>
      <w:r>
        <w:fldChar w:fldCharType="separate"/>
      </w:r>
      <w:r>
        <w:t>95</w:t>
      </w:r>
      <w:r>
        <w:fldChar w:fldCharType="end"/>
      </w:r>
      <w:r>
        <w:t>). Файл выгрузится в</w:t>
      </w:r>
      <w:r>
        <w:rPr>
          <w:lang w:val="en-US"/>
        </w:rPr>
        <w:t> </w:t>
      </w:r>
      <w:r>
        <w:t xml:space="preserve">формате </w:t>
      </w:r>
      <w:r>
        <w:rPr>
          <w:lang w:val="en-US"/>
        </w:rPr>
        <w:t>XLSX</w:t>
      </w:r>
      <w:r>
        <w:t>.</w:t>
      </w:r>
    </w:p>
    <w:p w14:paraId="7654E23D">
      <w:pPr>
        <w:pStyle w:val="73"/>
      </w:pPr>
      <w:r>
        <w:drawing>
          <wp:inline distT="0" distB="0" distL="0" distR="0">
            <wp:extent cx="6119495" cy="1200150"/>
            <wp:effectExtent l="19050" t="19050" r="14605" b="19050"/>
            <wp:docPr id="11437570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57079" name="Рисунок 1"/>
                    <pic:cNvPicPr>
                      <a:picLocks noChangeAspect="1"/>
                    </pic:cNvPicPr>
                  </pic:nvPicPr>
                  <pic:blipFill>
                    <a:blip r:embed="rId125"/>
                    <a:stretch>
                      <a:fillRect/>
                    </a:stretch>
                  </pic:blipFill>
                  <pic:spPr>
                    <a:xfrm>
                      <a:off x="0" y="0"/>
                      <a:ext cx="6119495" cy="1200150"/>
                    </a:xfrm>
                    <a:prstGeom prst="rect">
                      <a:avLst/>
                    </a:prstGeom>
                    <a:ln w="3175" cmpd="sng">
                      <a:solidFill>
                        <a:srgbClr val="000000"/>
                      </a:solidFill>
                    </a:ln>
                  </pic:spPr>
                </pic:pic>
              </a:graphicData>
            </a:graphic>
          </wp:inline>
        </w:drawing>
      </w:r>
    </w:p>
    <w:p w14:paraId="29293E0E">
      <w:pPr>
        <w:pStyle w:val="74"/>
      </w:pPr>
      <w:bookmarkStart w:id="2410" w:name="_Ref165028476"/>
      <w:r>
        <w:t xml:space="preserve">Рисунок </w:t>
      </w:r>
      <w:r>
        <w:fldChar w:fldCharType="begin"/>
      </w:r>
      <w:r>
        <w:instrText xml:space="preserve"> SEQ Рисунок \* ARABIC </w:instrText>
      </w:r>
      <w:r>
        <w:fldChar w:fldCharType="separate"/>
      </w:r>
      <w:r>
        <w:t>95</w:t>
      </w:r>
      <w:r>
        <w:fldChar w:fldCharType="end"/>
      </w:r>
      <w:bookmarkEnd w:id="2410"/>
      <w:r>
        <w:t xml:space="preserve"> — Выгрузка шаблона показателей по авансированию</w:t>
      </w:r>
    </w:p>
    <w:p w14:paraId="25F9AB32">
      <w:pPr>
        <w:pStyle w:val="69"/>
      </w:pPr>
      <w:r>
        <w:t xml:space="preserve">Шаблон содержит список медицинских организаций, отнесенных к данному плательщику (ТФОМС). Структура выгруженного шаблона по снятиям соответствует структуре формы подраздела «Снятия» (рис. </w:t>
      </w:r>
      <w:r>
        <w:fldChar w:fldCharType="begin"/>
      </w:r>
      <w:r>
        <w:instrText xml:space="preserve"> REF  _Ref162521752 \h\#\0   \* MERGEFORMAT </w:instrText>
      </w:r>
      <w:r>
        <w:fldChar w:fldCharType="separate"/>
      </w:r>
      <w:r>
        <w:t>96</w:t>
      </w:r>
      <w:r>
        <w:fldChar w:fldCharType="end"/>
      </w:r>
      <w:r>
        <w:t>). При этом:</w:t>
      </w:r>
    </w:p>
    <w:p w14:paraId="3247C1DE">
      <w:pPr>
        <w:pStyle w:val="75"/>
        <w:numPr>
          <w:ilvl w:val="0"/>
          <w:numId w:val="23"/>
        </w:numPr>
      </w:pPr>
      <w:r>
        <w:t>если загрузка сведений о снятиях в данном отчетном периоде не производилась, то шаблон выгружается с нулевыми значениями в столбцах с показателями суммы удержаний.</w:t>
      </w:r>
    </w:p>
    <w:p w14:paraId="05E53952">
      <w:pPr>
        <w:pStyle w:val="75"/>
      </w:pPr>
      <w:r>
        <w:t>если сведения о снятиях для данного отчетного периода загружались, то при последующей выгрузке шаблона значения в столбцах с показателями суммы удержания заполнены данными, соответствующими последней загрузке снятий в данный отчетный период.</w:t>
      </w:r>
    </w:p>
    <w:p w14:paraId="52182B39">
      <w:pPr>
        <w:pStyle w:val="73"/>
      </w:pPr>
      <w:r>
        <w:drawing>
          <wp:inline distT="0" distB="0" distL="0" distR="0">
            <wp:extent cx="6119495" cy="1200150"/>
            <wp:effectExtent l="19050" t="19050" r="14605" b="19050"/>
            <wp:docPr id="18373111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311147" name="Рисунок 1"/>
                    <pic:cNvPicPr>
                      <a:picLocks noChangeAspect="1"/>
                    </pic:cNvPicPr>
                  </pic:nvPicPr>
                  <pic:blipFill>
                    <a:blip r:embed="rId126"/>
                    <a:stretch>
                      <a:fillRect/>
                    </a:stretch>
                  </pic:blipFill>
                  <pic:spPr>
                    <a:xfrm>
                      <a:off x="0" y="0"/>
                      <a:ext cx="6119495" cy="1200150"/>
                    </a:xfrm>
                    <a:prstGeom prst="rect">
                      <a:avLst/>
                    </a:prstGeom>
                    <a:ln w="3175" cmpd="sng">
                      <a:solidFill>
                        <a:srgbClr val="000000"/>
                      </a:solidFill>
                    </a:ln>
                  </pic:spPr>
                </pic:pic>
              </a:graphicData>
            </a:graphic>
          </wp:inline>
        </w:drawing>
      </w:r>
    </w:p>
    <w:p w14:paraId="3E5FAFCE">
      <w:pPr>
        <w:pStyle w:val="74"/>
      </w:pPr>
      <w:bookmarkStart w:id="2411" w:name="_Ref162521752"/>
      <w:r>
        <w:t xml:space="preserve">Рисунок </w:t>
      </w:r>
      <w:r>
        <w:fldChar w:fldCharType="begin"/>
      </w:r>
      <w:r>
        <w:instrText xml:space="preserve"> SEQ Рисунок \* ARABIC </w:instrText>
      </w:r>
      <w:r>
        <w:fldChar w:fldCharType="separate"/>
      </w:r>
      <w:r>
        <w:t>96</w:t>
      </w:r>
      <w:r>
        <w:fldChar w:fldCharType="end"/>
      </w:r>
      <w:bookmarkEnd w:id="2411"/>
      <w:r>
        <w:t xml:space="preserve"> — Импорт шаблона</w:t>
      </w:r>
    </w:p>
    <w:p w14:paraId="7081B780">
      <w:pPr>
        <w:pStyle w:val="69"/>
      </w:pPr>
      <w:r>
        <w:t>Заполнить выгруженный шаблон актуальными значениями и сохранить в формате XLSX. При заполнении шаблона необходимо соблюдать следующие правила:</w:t>
      </w:r>
    </w:p>
    <w:p w14:paraId="3B92E3B7">
      <w:pPr>
        <w:pStyle w:val="76"/>
      </w:pPr>
      <w:bookmarkStart w:id="2412" w:name="_Hlk206125439"/>
      <w:r>
        <w:t>все данные должны располагаться на одном листе;</w:t>
      </w:r>
    </w:p>
    <w:p w14:paraId="1A5951B4">
      <w:pPr>
        <w:pStyle w:val="76"/>
      </w:pPr>
      <w:r>
        <w:t>порядок расположения столбцов должен соответствовать расположению столбцов в шаблоне — не допускается изменение порядка следования столбцов;</w:t>
      </w:r>
    </w:p>
    <w:p w14:paraId="6FA01751">
      <w:pPr>
        <w:pStyle w:val="76"/>
      </w:pPr>
      <w:r>
        <w:t>значения сумм — числовой формат, не более двух знаков после запятой;</w:t>
      </w:r>
    </w:p>
    <w:p w14:paraId="6BAB6FB7">
      <w:pPr>
        <w:pStyle w:val="76"/>
      </w:pPr>
      <w:r>
        <w:t>строки не должны содержать формулы внутри ячеек;</w:t>
      </w:r>
    </w:p>
    <w:p w14:paraId="2AE9B1E6">
      <w:pPr>
        <w:pStyle w:val="76"/>
      </w:pPr>
      <w:r>
        <w:t>должна присутствовать хотя бы одна запись.</w:t>
      </w:r>
    </w:p>
    <w:bookmarkEnd w:id="2412"/>
    <w:p w14:paraId="011B7895">
      <w:pPr>
        <w:pStyle w:val="69"/>
      </w:pPr>
      <w:bookmarkStart w:id="2413" w:name="_Hlk166590342"/>
      <w:bookmarkStart w:id="2414" w:name="_Hlk163122373"/>
      <w:r>
        <w:t xml:space="preserve">Чтобы загрузить заполненный шаблон с сведениями о снятиях, </w:t>
      </w:r>
      <w:bookmarkEnd w:id="2413"/>
      <w:r>
        <w:t>нажать кнопку «Импортировать шаблон»</w:t>
      </w:r>
      <w:bookmarkEnd w:id="2414"/>
      <w:r>
        <w:t xml:space="preserve"> (рис. </w:t>
      </w:r>
      <w:r>
        <w:fldChar w:fldCharType="begin"/>
      </w:r>
      <w:r>
        <w:instrText xml:space="preserve"> REF  _Ref162521752 \h\#\0   \* MERGEFORMAT </w:instrText>
      </w:r>
      <w:r>
        <w:fldChar w:fldCharType="separate"/>
      </w:r>
      <w:r>
        <w:t>96</w:t>
      </w:r>
      <w:r>
        <w:fldChar w:fldCharType="end"/>
      </w:r>
      <w:r>
        <w:t xml:space="preserve">) </w:t>
      </w:r>
      <w:bookmarkStart w:id="2415" w:name="_Hlk166590350"/>
      <w:r>
        <w:t>в подразделе «Снятия».</w:t>
      </w:r>
      <w:bookmarkEnd w:id="2415"/>
    </w:p>
    <w:p w14:paraId="34759B9A">
      <w:pPr>
        <w:pStyle w:val="69"/>
      </w:pPr>
      <w:r>
        <w:t xml:space="preserve">В открывшемся окне нажать кнопку «Выбрать» и выбрать файл со сведениями о снятиях или перетащить файл в область, выделенную пунктирной линией (рис. </w:t>
      </w:r>
      <w:r>
        <w:fldChar w:fldCharType="begin"/>
      </w:r>
      <w:r>
        <w:instrText xml:space="preserve"> REF  _Ref162521811 \h\#\0   \* MERGEFORMAT </w:instrText>
      </w:r>
      <w:r>
        <w:fldChar w:fldCharType="separate"/>
      </w:r>
      <w:r>
        <w:t>97</w:t>
      </w:r>
      <w:r>
        <w:fldChar w:fldCharType="end"/>
      </w:r>
      <w:r>
        <w:t>). Объем загружаемого файла не должен превышать 5 МБ.</w:t>
      </w:r>
    </w:p>
    <w:p w14:paraId="2C18EE7A">
      <w:pPr>
        <w:pStyle w:val="73"/>
      </w:pPr>
      <w:r>
        <w:drawing>
          <wp:inline distT="0" distB="0" distL="0" distR="0">
            <wp:extent cx="2879725" cy="1845310"/>
            <wp:effectExtent l="19050" t="19050" r="15875" b="21590"/>
            <wp:docPr id="1810296163" name="Рисунок 1810296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96163" name="Рисунок 1810296163"/>
                    <pic:cNvPicPr>
                      <a:picLocks noChangeAspect="1"/>
                    </pic:cNvPicPr>
                  </pic:nvPicPr>
                  <pic:blipFill>
                    <a:blip r:embed="rId120"/>
                    <a:stretch>
                      <a:fillRect/>
                    </a:stretch>
                  </pic:blipFill>
                  <pic:spPr>
                    <a:xfrm>
                      <a:off x="0" y="0"/>
                      <a:ext cx="2880000" cy="1845531"/>
                    </a:xfrm>
                    <a:prstGeom prst="rect">
                      <a:avLst/>
                    </a:prstGeom>
                    <a:ln w="3175" cmpd="sng">
                      <a:solidFill>
                        <a:srgbClr val="000000"/>
                      </a:solidFill>
                    </a:ln>
                  </pic:spPr>
                </pic:pic>
              </a:graphicData>
            </a:graphic>
          </wp:inline>
        </w:drawing>
      </w:r>
    </w:p>
    <w:p w14:paraId="5FD4C524">
      <w:pPr>
        <w:pStyle w:val="74"/>
      </w:pPr>
      <w:bookmarkStart w:id="2416" w:name="_Ref162521811"/>
      <w:r>
        <w:t xml:space="preserve">Рисунок </w:t>
      </w:r>
      <w:r>
        <w:fldChar w:fldCharType="begin"/>
      </w:r>
      <w:r>
        <w:instrText xml:space="preserve"> SEQ Рисунок \* ARABIC </w:instrText>
      </w:r>
      <w:r>
        <w:fldChar w:fldCharType="separate"/>
      </w:r>
      <w:r>
        <w:t>97</w:t>
      </w:r>
      <w:r>
        <w:fldChar w:fldCharType="end"/>
      </w:r>
      <w:bookmarkEnd w:id="2416"/>
      <w:r>
        <w:t xml:space="preserve"> — Выбор файла для импорта</w:t>
      </w:r>
    </w:p>
    <w:p w14:paraId="5F66F7D0">
      <w:pPr>
        <w:pStyle w:val="69"/>
      </w:pPr>
      <w:r>
        <w:t xml:space="preserve">Загружаемый файл автоматически проверяется (валидируется) на соответствие как внутренней структуре, так и используемым справочникам. Если файл </w:t>
      </w:r>
      <w:bookmarkEnd w:id="2389"/>
      <w:bookmarkEnd w:id="2390"/>
      <w:bookmarkEnd w:id="2391"/>
      <w:bookmarkEnd w:id="2392"/>
      <w:bookmarkEnd w:id="2393"/>
      <w:r>
        <w:t xml:space="preserve">не удовлетворяет указанным выше требованиям, то отображается сообщение об ошибке (рис. </w:t>
      </w:r>
      <w:r>
        <w:fldChar w:fldCharType="begin"/>
      </w:r>
      <w:r>
        <w:instrText xml:space="preserve"> REF  _Ref163063085 \h\#\0   \* MERGEFORMAT </w:instrText>
      </w:r>
      <w:r>
        <w:fldChar w:fldCharType="separate"/>
      </w:r>
      <w:r>
        <w:t>98</w:t>
      </w:r>
      <w:r>
        <w:fldChar w:fldCharType="end"/>
      </w:r>
      <w:r>
        <w:t>).</w:t>
      </w:r>
    </w:p>
    <w:p w14:paraId="1A276EC3">
      <w:pPr>
        <w:pStyle w:val="73"/>
      </w:pPr>
      <w:r>
        <w:drawing>
          <wp:inline distT="0" distB="0" distL="0" distR="0">
            <wp:extent cx="4857750" cy="1257300"/>
            <wp:effectExtent l="19050" t="19050" r="19050" b="19050"/>
            <wp:docPr id="4870938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93801" name="Рисунок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4857750" cy="1257300"/>
                    </a:xfrm>
                    <a:prstGeom prst="rect">
                      <a:avLst/>
                    </a:prstGeom>
                    <a:noFill/>
                    <a:ln w="3175" cmpd="sng">
                      <a:solidFill>
                        <a:srgbClr val="000000"/>
                      </a:solidFill>
                    </a:ln>
                  </pic:spPr>
                </pic:pic>
              </a:graphicData>
            </a:graphic>
          </wp:inline>
        </w:drawing>
      </w:r>
    </w:p>
    <w:p w14:paraId="0C3DC979">
      <w:pPr>
        <w:pStyle w:val="74"/>
      </w:pPr>
      <w:bookmarkStart w:id="2417" w:name="_Ref163063085"/>
      <w:r>
        <w:t xml:space="preserve">Рисунок </w:t>
      </w:r>
      <w:r>
        <w:fldChar w:fldCharType="begin"/>
      </w:r>
      <w:r>
        <w:instrText xml:space="preserve"> SEQ Рисунок \* ARABIC </w:instrText>
      </w:r>
      <w:r>
        <w:fldChar w:fldCharType="separate"/>
      </w:r>
      <w:r>
        <w:t>98</w:t>
      </w:r>
      <w:r>
        <w:fldChar w:fldCharType="end"/>
      </w:r>
      <w:bookmarkEnd w:id="2417"/>
      <w:r>
        <w:t xml:space="preserve"> — Ошибка при загрузке файла</w:t>
      </w:r>
    </w:p>
    <w:p w14:paraId="40DB40A0">
      <w:pPr>
        <w:pStyle w:val="69"/>
      </w:pPr>
      <w:r>
        <w:t xml:space="preserve">При успешной загрузке файла отображается соответствующее сообщение (рис. </w:t>
      </w:r>
      <w:r>
        <w:fldChar w:fldCharType="begin"/>
      </w:r>
      <w:r>
        <w:instrText xml:space="preserve"> REF  _Ref163820834 \h\#\0   \* MERGEFORMAT </w:instrText>
      </w:r>
      <w:r>
        <w:fldChar w:fldCharType="separate"/>
      </w:r>
      <w:r>
        <w:t>99</w:t>
      </w:r>
      <w:r>
        <w:fldChar w:fldCharType="end"/>
      </w:r>
      <w:r>
        <w:t>).</w:t>
      </w:r>
    </w:p>
    <w:p w14:paraId="485936BD">
      <w:pPr>
        <w:pStyle w:val="73"/>
      </w:pPr>
      <w:r>
        <w:drawing>
          <wp:inline distT="0" distB="0" distL="0" distR="0">
            <wp:extent cx="2519680" cy="864235"/>
            <wp:effectExtent l="19050" t="19050" r="13970" b="12065"/>
            <wp:docPr id="15019884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988447" name="Рисунок 1"/>
                    <pic:cNvPicPr>
                      <a:picLocks noChangeAspect="1"/>
                    </pic:cNvPicPr>
                  </pic:nvPicPr>
                  <pic:blipFill>
                    <a:blip r:embed="rId122"/>
                    <a:stretch>
                      <a:fillRect/>
                    </a:stretch>
                  </pic:blipFill>
                  <pic:spPr>
                    <a:xfrm>
                      <a:off x="0" y="0"/>
                      <a:ext cx="2520000" cy="864525"/>
                    </a:xfrm>
                    <a:prstGeom prst="rect">
                      <a:avLst/>
                    </a:prstGeom>
                    <a:ln w="3175" cmpd="sng">
                      <a:solidFill>
                        <a:srgbClr val="000000"/>
                      </a:solidFill>
                    </a:ln>
                  </pic:spPr>
                </pic:pic>
              </a:graphicData>
            </a:graphic>
          </wp:inline>
        </w:drawing>
      </w:r>
    </w:p>
    <w:p w14:paraId="6663448E">
      <w:pPr>
        <w:pStyle w:val="74"/>
      </w:pPr>
      <w:bookmarkStart w:id="2418" w:name="_Ref163820834"/>
      <w:r>
        <w:t xml:space="preserve">Рисунок </w:t>
      </w:r>
      <w:r>
        <w:fldChar w:fldCharType="begin"/>
      </w:r>
      <w:r>
        <w:instrText xml:space="preserve"> SEQ Рисунок \* ARABIC </w:instrText>
      </w:r>
      <w:r>
        <w:fldChar w:fldCharType="separate"/>
      </w:r>
      <w:r>
        <w:t>99</w:t>
      </w:r>
      <w:r>
        <w:fldChar w:fldCharType="end"/>
      </w:r>
      <w:bookmarkEnd w:id="2418"/>
      <w:r>
        <w:t xml:space="preserve"> — Сообщение об успешной загрузке файла</w:t>
      </w:r>
    </w:p>
    <w:p w14:paraId="4F984722">
      <w:pPr>
        <w:pStyle w:val="69"/>
      </w:pPr>
      <w:r>
        <w:t>После успешной загрузки файла сведения о снятиях отображаются в рабочей области, доступны для выгрузки и автоматически учитываются при формировании финального ответа плательщика.</w:t>
      </w:r>
    </w:p>
    <w:p w14:paraId="23983F42">
      <w:pPr>
        <w:pStyle w:val="69"/>
      </w:pPr>
      <w:r>
        <w:t xml:space="preserve">Для просмотра истории загрузок, необходимо навести курсор на иконку </w:t>
      </w:r>
      <w:r>
        <w:drawing>
          <wp:inline distT="0" distB="0" distL="0" distR="0">
            <wp:extent cx="161925" cy="171450"/>
            <wp:effectExtent l="19050" t="19050" r="28575" b="19050"/>
            <wp:docPr id="20020645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64511" name="Рисунок 1"/>
                    <pic:cNvPicPr>
                      <a:picLocks noChangeAspect="1"/>
                    </pic:cNvPicPr>
                  </pic:nvPicPr>
                  <pic:blipFill>
                    <a:blip r:embed="rId123"/>
                    <a:stretch>
                      <a:fillRect/>
                    </a:stretch>
                  </pic:blipFill>
                  <pic:spPr>
                    <a:xfrm>
                      <a:off x="0" y="0"/>
                      <a:ext cx="161948" cy="171474"/>
                    </a:xfrm>
                    <a:prstGeom prst="rect">
                      <a:avLst/>
                    </a:prstGeom>
                    <a:ln w="3175" cmpd="sng">
                      <a:solidFill>
                        <a:srgbClr val="000000"/>
                      </a:solidFill>
                    </a:ln>
                  </pic:spPr>
                </pic:pic>
              </a:graphicData>
            </a:graphic>
          </wp:inline>
        </w:drawing>
      </w:r>
      <w:r>
        <w:t xml:space="preserve">. Данная пиктограмма появляется после первой загрузки шаблона и находится в заголовке рабочей области, справа от подраздела «Снятия» (рис. </w:t>
      </w:r>
      <w:r>
        <w:fldChar w:fldCharType="begin"/>
      </w:r>
      <w:r>
        <w:instrText xml:space="preserve"> REF  _Ref224054194 \h \t \#\0 \* MERGEFORMAT </w:instrText>
      </w:r>
      <w:r>
        <w:fldChar w:fldCharType="separate"/>
      </w:r>
      <w:r>
        <w:t>100</w:t>
      </w:r>
      <w:r>
        <w:fldChar w:fldCharType="end"/>
      </w:r>
      <w:r>
        <w:t>).</w:t>
      </w:r>
    </w:p>
    <w:p w14:paraId="22BF9B46">
      <w:pPr>
        <w:pStyle w:val="73"/>
      </w:pPr>
      <w:r>
        <w:drawing>
          <wp:inline distT="0" distB="0" distL="0" distR="0">
            <wp:extent cx="4460240" cy="2072640"/>
            <wp:effectExtent l="19050" t="19050" r="16510" b="22860"/>
            <wp:docPr id="73575225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752257" name="Рисунок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4460240" cy="2072640"/>
                    </a:xfrm>
                    <a:prstGeom prst="rect">
                      <a:avLst/>
                    </a:prstGeom>
                    <a:noFill/>
                    <a:ln w="3175">
                      <a:solidFill>
                        <a:srgbClr val="000000"/>
                      </a:solidFill>
                    </a:ln>
                  </pic:spPr>
                </pic:pic>
              </a:graphicData>
            </a:graphic>
          </wp:inline>
        </w:drawing>
      </w:r>
    </w:p>
    <w:p w14:paraId="2BB48D2B">
      <w:pPr>
        <w:pStyle w:val="74"/>
      </w:pPr>
      <w:bookmarkStart w:id="2419" w:name="_Ref224054194"/>
      <w:r>
        <w:t xml:space="preserve">Рисунок </w:t>
      </w:r>
      <w:r>
        <w:fldChar w:fldCharType="begin"/>
      </w:r>
      <w:r>
        <w:instrText xml:space="preserve"> SEQ Рисунок \* ARABIC </w:instrText>
      </w:r>
      <w:r>
        <w:fldChar w:fldCharType="separate"/>
      </w:r>
      <w:r>
        <w:t>100</w:t>
      </w:r>
      <w:r>
        <w:fldChar w:fldCharType="end"/>
      </w:r>
      <w:bookmarkEnd w:id="2419"/>
      <w:r>
        <w:t xml:space="preserve"> — История загрузок шаблонов снятий</w:t>
      </w:r>
    </w:p>
    <w:p w14:paraId="48988210">
      <w:pPr>
        <w:pStyle w:val="69"/>
      </w:pPr>
      <w:r>
        <w:t>История загрузок шаблонов состоит из следующих полей:</w:t>
      </w:r>
    </w:p>
    <w:p w14:paraId="1DC278AE">
      <w:pPr>
        <w:pStyle w:val="76"/>
      </w:pPr>
      <w:r>
        <w:t>Создатель – логин пользователя, который загрузил первый шаблон;</w:t>
      </w:r>
    </w:p>
    <w:p w14:paraId="489C6F05">
      <w:pPr>
        <w:pStyle w:val="76"/>
      </w:pPr>
      <w:r>
        <w:t>Редактор – логин пользователя, который загрузил последний шаблон;</w:t>
      </w:r>
    </w:p>
    <w:p w14:paraId="345BFB6B">
      <w:pPr>
        <w:pStyle w:val="76"/>
      </w:pPr>
      <w:r>
        <w:t>Организация – наименование организации создателя;</w:t>
      </w:r>
    </w:p>
    <w:p w14:paraId="47C9013A">
      <w:pPr>
        <w:pStyle w:val="76"/>
      </w:pPr>
      <w:r>
        <w:t>Дата загрузки – дата загрузки первого шаблона;</w:t>
      </w:r>
    </w:p>
    <w:p w14:paraId="0540E13F">
      <w:pPr>
        <w:pStyle w:val="76"/>
      </w:pPr>
      <w:r>
        <w:t>Дата обновления – дата обновления последнего шаблона;</w:t>
      </w:r>
    </w:p>
    <w:p w14:paraId="250DD2D4">
      <w:pPr>
        <w:pStyle w:val="76"/>
      </w:pPr>
      <w:r>
        <w:t>Месяц – отчетный месяц;</w:t>
      </w:r>
    </w:p>
    <w:p w14:paraId="1E5DD78C">
      <w:pPr>
        <w:pStyle w:val="76"/>
      </w:pPr>
      <w:r>
        <w:t>Год – отчетный год;</w:t>
      </w:r>
    </w:p>
    <w:p w14:paraId="1122E91C">
      <w:pPr>
        <w:pStyle w:val="76"/>
      </w:pPr>
      <w:r>
        <w:t>Код ТФОМС – к которому относятся МО и Плательщик;</w:t>
      </w:r>
    </w:p>
    <w:p w14:paraId="03558315">
      <w:pPr>
        <w:pStyle w:val="76"/>
      </w:pPr>
      <w:r>
        <w:t>Поступление – канал получения последнего шаблона.</w:t>
      </w:r>
    </w:p>
    <w:p w14:paraId="3E0FA77E">
      <w:pPr>
        <w:pStyle w:val="58"/>
      </w:pPr>
      <w:bookmarkStart w:id="2420" w:name="_Toc98169662"/>
      <w:bookmarkStart w:id="2421" w:name="_Toc154763979"/>
      <w:bookmarkStart w:id="2422" w:name="_Toc225866349"/>
      <w:bookmarkStart w:id="2423" w:name="_Toc131174722"/>
      <w:bookmarkStart w:id="2424" w:name="_Ref142476967"/>
      <w:bookmarkStart w:id="2425" w:name="_Toc149209670"/>
      <w:bookmarkStart w:id="2426" w:name="_Ref162368570"/>
      <w:bookmarkStart w:id="2427" w:name="_Toc90470928"/>
      <w:bookmarkStart w:id="2428" w:name="_Toc131174738"/>
      <w:bookmarkStart w:id="2429" w:name="_Toc150261778"/>
      <w:bookmarkStart w:id="2430" w:name="_Toc465096410"/>
      <w:r>
        <w:t xml:space="preserve">Мониторинг плановых </w:t>
      </w:r>
      <w:bookmarkEnd w:id="2420"/>
      <w:r>
        <w:t>и фактических показателей медицинской помощи</w:t>
      </w:r>
      <w:bookmarkEnd w:id="2421"/>
      <w:bookmarkEnd w:id="2422"/>
      <w:bookmarkEnd w:id="2423"/>
      <w:bookmarkEnd w:id="2424"/>
      <w:bookmarkEnd w:id="2425"/>
      <w:bookmarkEnd w:id="2426"/>
    </w:p>
    <w:p w14:paraId="40237B3A">
      <w:pPr>
        <w:pStyle w:val="69"/>
      </w:pPr>
      <w:bookmarkStart w:id="2431" w:name="_Hlk206125561"/>
      <w:r>
        <w:t>Загрузка, публикация и мониторинг плановых и фактических показателей осуществляются в разделе «Мониторинг». Для перехода в раздел выбрать в ленте главного меню вкладку «Мониторинг»</w:t>
      </w:r>
      <w:bookmarkEnd w:id="2431"/>
      <w:r>
        <w:t>.</w:t>
      </w:r>
    </w:p>
    <w:p w14:paraId="2C3B44A0">
      <w:pPr>
        <w:pStyle w:val="60"/>
      </w:pPr>
      <w:bookmarkStart w:id="2432" w:name="_Ref166488983"/>
      <w:bookmarkStart w:id="2433" w:name="_Toc167122628"/>
      <w:bookmarkStart w:id="2434" w:name="_Ref166488984"/>
      <w:bookmarkStart w:id="2435" w:name="_Toc225866350"/>
      <w:r>
        <w:t>Просмотр плановых показателей</w:t>
      </w:r>
      <w:bookmarkEnd w:id="2432"/>
      <w:bookmarkEnd w:id="2433"/>
      <w:bookmarkEnd w:id="2434"/>
      <w:bookmarkEnd w:id="2435"/>
    </w:p>
    <w:p w14:paraId="40F087AE">
      <w:pPr>
        <w:pStyle w:val="69"/>
      </w:pPr>
      <w:r>
        <w:t>Просмотр плановых показателей доступен для следующих ролей сотрудников ТФОМС:</w:t>
      </w:r>
    </w:p>
    <w:p w14:paraId="37005DE9">
      <w:pPr>
        <w:pStyle w:val="76"/>
      </w:pPr>
      <w:r>
        <w:t>Плательщик ТФОМС;</w:t>
      </w:r>
    </w:p>
    <w:p w14:paraId="241F96A0">
      <w:pPr>
        <w:pStyle w:val="76"/>
      </w:pPr>
      <w:r>
        <w:t>Куратор по СМО;</w:t>
      </w:r>
    </w:p>
    <w:p w14:paraId="510282BF">
      <w:pPr>
        <w:pStyle w:val="76"/>
      </w:pPr>
      <w:r>
        <w:t>Куратор по МО.</w:t>
      </w:r>
    </w:p>
    <w:p w14:paraId="78C47ED2">
      <w:pPr>
        <w:pStyle w:val="69"/>
      </w:pPr>
      <w:r>
        <w:t xml:space="preserve">Для просмотра плановых годовых показателей выбрать в ленте главного меню вкладку «Мониторинг». Произойдет переход в раздел «Мониторинг» (рис. </w:t>
      </w:r>
      <w:r>
        <w:fldChar w:fldCharType="begin"/>
      </w:r>
      <w:r>
        <w:instrText xml:space="preserve"> REF  _Ref166666462 \h\#\0   \* MERGEFORMAT </w:instrText>
      </w:r>
      <w:r>
        <w:fldChar w:fldCharType="separate"/>
      </w:r>
      <w:r>
        <w:t>101</w:t>
      </w:r>
      <w:r>
        <w:fldChar w:fldCharType="end"/>
      </w:r>
      <w:r>
        <w:t>).</w:t>
      </w:r>
    </w:p>
    <w:p w14:paraId="2542302F">
      <w:pPr>
        <w:pStyle w:val="69"/>
      </w:pPr>
      <w:r>
        <w:t>В рабочей области по умолчанию отобразится подраздел «План», содержащий плановые объемы территориальной базовой программы на текущий год:</w:t>
      </w:r>
    </w:p>
    <w:p w14:paraId="773F3225">
      <w:pPr>
        <w:pStyle w:val="76"/>
      </w:pPr>
      <w:r>
        <w:t>объем медицинской помощи (количество единиц);</w:t>
      </w:r>
    </w:p>
    <w:p w14:paraId="4E73A2B0">
      <w:pPr>
        <w:pStyle w:val="76"/>
      </w:pPr>
      <w:r>
        <w:t>объем финансового обеспечения (сумма в рублях).</w:t>
      </w:r>
    </w:p>
    <w:p w14:paraId="45350D7C">
      <w:pPr>
        <w:pStyle w:val="73"/>
      </w:pPr>
      <w:r>
        <w:drawing>
          <wp:inline distT="0" distB="0" distL="0" distR="0">
            <wp:extent cx="6119495" cy="3056255"/>
            <wp:effectExtent l="19050" t="19050" r="14605" b="10795"/>
            <wp:docPr id="965276964" name="Рисунок 965276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276964" name="Рисунок 965276964"/>
                    <pic:cNvPicPr>
                      <a:picLocks noChangeAspect="1"/>
                    </pic:cNvPicPr>
                  </pic:nvPicPr>
                  <pic:blipFill>
                    <a:blip r:embed="rId128"/>
                    <a:stretch>
                      <a:fillRect/>
                    </a:stretch>
                  </pic:blipFill>
                  <pic:spPr>
                    <a:xfrm>
                      <a:off x="0" y="0"/>
                      <a:ext cx="6119495" cy="3056255"/>
                    </a:xfrm>
                    <a:prstGeom prst="rect">
                      <a:avLst/>
                    </a:prstGeom>
                    <a:ln w="3175" cmpd="sng">
                      <a:solidFill>
                        <a:srgbClr val="000000"/>
                      </a:solidFill>
                    </a:ln>
                  </pic:spPr>
                </pic:pic>
              </a:graphicData>
            </a:graphic>
          </wp:inline>
        </w:drawing>
      </w:r>
    </w:p>
    <w:p w14:paraId="1F5315D5">
      <w:pPr>
        <w:pStyle w:val="74"/>
      </w:pPr>
      <w:bookmarkStart w:id="2436" w:name="_Ref166666462"/>
      <w:r>
        <w:t xml:space="preserve">Рисунок </w:t>
      </w:r>
      <w:r>
        <w:fldChar w:fldCharType="begin"/>
      </w:r>
      <w:r>
        <w:instrText xml:space="preserve"> SEQ Рисунок \* ARABIC </w:instrText>
      </w:r>
      <w:r>
        <w:fldChar w:fldCharType="separate"/>
      </w:r>
      <w:r>
        <w:t>101</w:t>
      </w:r>
      <w:r>
        <w:fldChar w:fldCharType="end"/>
      </w:r>
      <w:bookmarkEnd w:id="2436"/>
      <w:r>
        <w:t xml:space="preserve"> — </w:t>
      </w:r>
      <w:bookmarkStart w:id="2437" w:name="_Hlk166595518"/>
      <w:r>
        <w:t>Мониторинг. Подраздел «План»</w:t>
      </w:r>
      <w:bookmarkEnd w:id="2437"/>
    </w:p>
    <w:p w14:paraId="5179404E">
      <w:pPr>
        <w:pStyle w:val="69"/>
      </w:pPr>
      <w:bookmarkStart w:id="2438" w:name="_Hlk183109843"/>
      <w:r>
        <w:t>В информационной строке отображаются следующие сведения:</w:t>
      </w:r>
    </w:p>
    <w:p w14:paraId="33A4C575">
      <w:pPr>
        <w:pStyle w:val="76"/>
      </w:pPr>
      <w:r>
        <w:t>наименование раздела — «Мониторинг»;</w:t>
      </w:r>
    </w:p>
    <w:p w14:paraId="5337DA2B">
      <w:pPr>
        <w:pStyle w:val="76"/>
      </w:pPr>
      <w:r>
        <w:t>наименование подраздела;</w:t>
      </w:r>
    </w:p>
    <w:p w14:paraId="20B97419">
      <w:pPr>
        <w:pStyle w:val="76"/>
      </w:pPr>
      <w:r>
        <w:t>количество найденных записей;</w:t>
      </w:r>
    </w:p>
    <w:p w14:paraId="2C8C0877">
      <w:pPr>
        <w:pStyle w:val="76"/>
      </w:pPr>
      <w:r>
        <w:t xml:space="preserve">пиктограмма </w:t>
      </w:r>
      <w:r>
        <w:drawing>
          <wp:inline distT="0" distB="0" distL="0" distR="0">
            <wp:extent cx="161925" cy="171450"/>
            <wp:effectExtent l="19050" t="19050" r="28575" b="19050"/>
            <wp:docPr id="11386977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697777" name="Рисунок 1"/>
                    <pic:cNvPicPr>
                      <a:picLocks noChangeAspect="1"/>
                    </pic:cNvPicPr>
                  </pic:nvPicPr>
                  <pic:blipFill>
                    <a:blip r:embed="rId123"/>
                    <a:stretch>
                      <a:fillRect/>
                    </a:stretch>
                  </pic:blipFill>
                  <pic:spPr>
                    <a:xfrm>
                      <a:off x="0" y="0"/>
                      <a:ext cx="161948" cy="171474"/>
                    </a:xfrm>
                    <a:prstGeom prst="rect">
                      <a:avLst/>
                    </a:prstGeom>
                    <a:ln w="3175" cmpd="sng">
                      <a:solidFill>
                        <a:srgbClr val="000000"/>
                      </a:solidFill>
                    </a:ln>
                  </pic:spPr>
                </pic:pic>
              </a:graphicData>
            </a:graphic>
          </wp:inline>
        </w:drawing>
      </w:r>
      <w:r>
        <w:t xml:space="preserve"> «Информация»;</w:t>
      </w:r>
    </w:p>
    <w:p w14:paraId="05A799B5">
      <w:pPr>
        <w:pStyle w:val="76"/>
      </w:pPr>
      <w:bookmarkStart w:id="2439" w:name="_Hlk183099406"/>
      <w:r>
        <w:t>Кв. план (при наличии).</w:t>
      </w:r>
    </w:p>
    <w:bookmarkEnd w:id="2438"/>
    <w:bookmarkEnd w:id="2439"/>
    <w:p w14:paraId="09C07831">
      <w:pPr>
        <w:pStyle w:val="69"/>
      </w:pPr>
      <w:r>
        <w:t>Управляющие элементы:</w:t>
      </w:r>
    </w:p>
    <w:p w14:paraId="37CFB58F">
      <w:pPr>
        <w:pStyle w:val="76"/>
      </w:pPr>
      <w:r>
        <w:t>«Импорт»;</w:t>
      </w:r>
    </w:p>
    <w:p w14:paraId="36750CE9">
      <w:pPr>
        <w:pStyle w:val="76"/>
      </w:pPr>
      <w:r>
        <w:t>«Выгрузить шаблон»;</w:t>
      </w:r>
    </w:p>
    <w:p w14:paraId="437D17F1">
      <w:pPr>
        <w:pStyle w:val="76"/>
      </w:pPr>
      <w:r>
        <w:t>«Отозвать»;</w:t>
      </w:r>
    </w:p>
    <w:p w14:paraId="310C5577">
      <w:pPr>
        <w:pStyle w:val="76"/>
      </w:pPr>
      <w:r>
        <w:t>«Опубликовать».</w:t>
      </w:r>
    </w:p>
    <w:p w14:paraId="413772B3">
      <w:pPr>
        <w:pStyle w:val="69"/>
      </w:pPr>
      <w:r>
        <w:t>Доступность управляющих элементов зависит от роли и полномочий пользователя, а также от текущего состояния (статуса) формы.</w:t>
      </w:r>
    </w:p>
    <w:p w14:paraId="0ECC4C78">
      <w:pPr>
        <w:pStyle w:val="69"/>
      </w:pPr>
      <w:r>
        <w:t>Табличная часть содержит следующие нередактируемые поля:</w:t>
      </w:r>
    </w:p>
    <w:p w14:paraId="4E9E62BF">
      <w:pPr>
        <w:pStyle w:val="76"/>
      </w:pPr>
      <w:r>
        <w:t>поле выбора элемента списка;</w:t>
      </w:r>
    </w:p>
    <w:p w14:paraId="2D3F1A58">
      <w:pPr>
        <w:pStyle w:val="76"/>
      </w:pPr>
      <w:r>
        <w:t>«МО» — код в системе ОМС и краткое наименование медицинской организации;</w:t>
      </w:r>
    </w:p>
    <w:p w14:paraId="68E27D74">
      <w:pPr>
        <w:pStyle w:val="76"/>
      </w:pPr>
      <w:r>
        <w:t>«Базовая программа (всего, ед)» — годовой объем медицинской помощи согласно утвержденной территориальной базовой программе (количество единиц, случаев госпитализации или лечения);</w:t>
      </w:r>
    </w:p>
    <w:p w14:paraId="53F3C306">
      <w:pPr>
        <w:pStyle w:val="76"/>
      </w:pPr>
      <w:r>
        <w:t>«Базовая программа (всего, руб)» — годовой объем финансового обеспечения согласно утвержденной территориальной базовой программе (в рублях);</w:t>
      </w:r>
    </w:p>
    <w:p w14:paraId="498DAEFF">
      <w:pPr>
        <w:pStyle w:val="76"/>
      </w:pPr>
      <w:r>
        <w:t>«Сверхбазовая программа (всего, ед)» — годовой объем по сверхбазовой программе (в единицах);</w:t>
      </w:r>
    </w:p>
    <w:p w14:paraId="5B7F431A">
      <w:pPr>
        <w:pStyle w:val="76"/>
      </w:pPr>
      <w:r>
        <w:t>«Сверхбазовая программа (всего, руб)» — годовой объем по сверхбазовой программе (в рублях);</w:t>
      </w:r>
    </w:p>
    <w:p w14:paraId="3C3E2DD0">
      <w:pPr>
        <w:pStyle w:val="76"/>
      </w:pPr>
      <w:r>
        <w:t>«Протокол» — номер протокола тарифной комиссии, к которой относится данная запись;</w:t>
      </w:r>
    </w:p>
    <w:p w14:paraId="38705795">
      <w:pPr>
        <w:pStyle w:val="76"/>
      </w:pPr>
      <w:r>
        <w:t>«Дата» — дата протокола тарифной комиссии в формате дд.мм.ггг;</w:t>
      </w:r>
    </w:p>
    <w:p w14:paraId="48DCD2DC">
      <w:pPr>
        <w:pStyle w:val="76"/>
      </w:pPr>
      <w:r>
        <w:t>«Версия» — номер версии годовых плановых показателей (присваивается автоматически);</w:t>
      </w:r>
    </w:p>
    <w:p w14:paraId="5A9212B1">
      <w:pPr>
        <w:pStyle w:val="76"/>
      </w:pPr>
      <w:r>
        <w:t>«Статус» — текущее состояние плановых показателей. Возможные статусы:</w:t>
      </w:r>
    </w:p>
    <w:p w14:paraId="30E40929">
      <w:pPr>
        <w:pStyle w:val="78"/>
        <w:numPr>
          <w:ilvl w:val="0"/>
          <w:numId w:val="9"/>
        </w:numPr>
      </w:pPr>
      <w:r>
        <w:t>«Черновик»;</w:t>
      </w:r>
    </w:p>
    <w:p w14:paraId="17E63A46">
      <w:pPr>
        <w:pStyle w:val="78"/>
        <w:numPr>
          <w:ilvl w:val="0"/>
          <w:numId w:val="9"/>
        </w:numPr>
      </w:pPr>
      <w:r>
        <w:t>«Опубликовано ТФОМС»;</w:t>
      </w:r>
    </w:p>
    <w:p w14:paraId="375F35E0">
      <w:pPr>
        <w:pStyle w:val="78"/>
        <w:numPr>
          <w:ilvl w:val="0"/>
          <w:numId w:val="9"/>
        </w:numPr>
      </w:pPr>
      <w:r>
        <w:t>«Отозвано ТФОМС»;</w:t>
      </w:r>
    </w:p>
    <w:p w14:paraId="5AA2A23F">
      <w:pPr>
        <w:pStyle w:val="78"/>
        <w:numPr>
          <w:ilvl w:val="0"/>
          <w:numId w:val="9"/>
        </w:numPr>
      </w:pPr>
      <w:r>
        <w:t>«Черновик МО»;</w:t>
      </w:r>
    </w:p>
    <w:p w14:paraId="2C373CDB">
      <w:pPr>
        <w:pStyle w:val="78"/>
        <w:numPr>
          <w:ilvl w:val="0"/>
          <w:numId w:val="9"/>
        </w:numPr>
      </w:pPr>
      <w:r>
        <w:t>«Опубликован МО»;</w:t>
      </w:r>
    </w:p>
    <w:p w14:paraId="5E265B99">
      <w:pPr>
        <w:pStyle w:val="78"/>
        <w:numPr>
          <w:ilvl w:val="0"/>
          <w:numId w:val="9"/>
        </w:numPr>
      </w:pPr>
      <w:r>
        <w:t>«Отозван МО»;</w:t>
      </w:r>
    </w:p>
    <w:p w14:paraId="0094E5B6">
      <w:pPr>
        <w:pStyle w:val="78"/>
        <w:numPr>
          <w:ilvl w:val="0"/>
          <w:numId w:val="9"/>
        </w:numPr>
      </w:pPr>
      <w:r>
        <w:t>«Архив»;</w:t>
      </w:r>
    </w:p>
    <w:p w14:paraId="6B3D2485">
      <w:pPr>
        <w:pStyle w:val="76"/>
      </w:pPr>
      <w:r>
        <w:t>«Кв. план» — индикатор разрешения/запрета редактирования поквартального распределения плановых показателей. Значение «Разрешено» позволяет МО отозвать опубликованный квартальный план и внести изменения в режиме редактирования;</w:t>
      </w:r>
    </w:p>
    <w:p w14:paraId="23AF055F">
      <w:pPr>
        <w:pStyle w:val="76"/>
      </w:pPr>
      <w:r>
        <w:t>«Дата изменения статуса» — дата изменения статуса в формате дд.мм.гггг;</w:t>
      </w:r>
    </w:p>
    <w:p w14:paraId="0C6DC0B1">
      <w:pPr>
        <w:pStyle w:val="76"/>
      </w:pPr>
      <w:r>
        <w:t>«Распределение» — индикатор наличия ошибок при поквартальном распределении плановых показателей. Возможные значения: «Да»/«Нет».</w:t>
      </w:r>
    </w:p>
    <w:p w14:paraId="6D8DB206">
      <w:pPr>
        <w:pStyle w:val="69"/>
      </w:pPr>
      <w:bookmarkStart w:id="2440" w:name="_Hlk183110867"/>
      <w:r>
        <w:t xml:space="preserve">При выделении строки записи с плановыми показателями </w:t>
      </w:r>
      <w:bookmarkStart w:id="2441" w:name="_Hlk183101257"/>
      <w:r>
        <w:t xml:space="preserve">и наведении курсора в информационной строке на пиктограмму </w:t>
      </w:r>
      <w:r>
        <w:drawing>
          <wp:inline distT="0" distB="0" distL="0" distR="0">
            <wp:extent cx="161925" cy="171450"/>
            <wp:effectExtent l="19050" t="19050" r="28575" b="19050"/>
            <wp:docPr id="8349056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905623" name="Рисунок 1"/>
                    <pic:cNvPicPr>
                      <a:picLocks noChangeAspect="1"/>
                    </pic:cNvPicPr>
                  </pic:nvPicPr>
                  <pic:blipFill>
                    <a:blip r:embed="rId123"/>
                    <a:stretch>
                      <a:fillRect/>
                    </a:stretch>
                  </pic:blipFill>
                  <pic:spPr>
                    <a:xfrm>
                      <a:off x="0" y="0"/>
                      <a:ext cx="161948" cy="171474"/>
                    </a:xfrm>
                    <a:prstGeom prst="rect">
                      <a:avLst/>
                    </a:prstGeom>
                    <a:ln w="3175" cmpd="sng">
                      <a:solidFill>
                        <a:srgbClr val="000000"/>
                      </a:solidFill>
                    </a:ln>
                  </pic:spPr>
                </pic:pic>
              </a:graphicData>
            </a:graphic>
          </wp:inline>
        </w:drawing>
      </w:r>
      <w:r>
        <w:t xml:space="preserve"> «Информация» </w:t>
      </w:r>
      <w:bookmarkEnd w:id="2441"/>
      <w:r>
        <w:t xml:space="preserve">отображается всплывающее окно со сведениями о загруженном файле (рис. </w:t>
      </w:r>
      <w:r>
        <w:fldChar w:fldCharType="begin"/>
      </w:r>
      <w:r>
        <w:instrText xml:space="preserve"> REF  _Ref183098492 \h\#\0   \* MERGEFORMAT </w:instrText>
      </w:r>
      <w:r>
        <w:fldChar w:fldCharType="separate"/>
      </w:r>
      <w:r>
        <w:t>102</w:t>
      </w:r>
      <w:r>
        <w:fldChar w:fldCharType="end"/>
      </w:r>
      <w:r>
        <w:t>).</w:t>
      </w:r>
    </w:p>
    <w:p w14:paraId="6FF37D93">
      <w:pPr>
        <w:pStyle w:val="73"/>
      </w:pPr>
      <w:r>
        <w:drawing>
          <wp:inline distT="0" distB="0" distL="0" distR="0">
            <wp:extent cx="4319905" cy="990600"/>
            <wp:effectExtent l="19050" t="19050" r="23495" b="19050"/>
            <wp:docPr id="13988384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838414" name="Рисунок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4320000" cy="991018"/>
                    </a:xfrm>
                    <a:prstGeom prst="rect">
                      <a:avLst/>
                    </a:prstGeom>
                    <a:noFill/>
                    <a:ln w="3175" cmpd="sng">
                      <a:solidFill>
                        <a:srgbClr val="000000"/>
                      </a:solidFill>
                    </a:ln>
                  </pic:spPr>
                </pic:pic>
              </a:graphicData>
            </a:graphic>
          </wp:inline>
        </w:drawing>
      </w:r>
    </w:p>
    <w:p w14:paraId="6B2551BB">
      <w:pPr>
        <w:pStyle w:val="74"/>
      </w:pPr>
      <w:bookmarkStart w:id="2442" w:name="_Ref183098492"/>
      <w:r>
        <w:t xml:space="preserve">Рисунок </w:t>
      </w:r>
      <w:r>
        <w:fldChar w:fldCharType="begin"/>
      </w:r>
      <w:r>
        <w:instrText xml:space="preserve"> SEQ Рисунок \* ARABIC </w:instrText>
      </w:r>
      <w:r>
        <w:fldChar w:fldCharType="separate"/>
      </w:r>
      <w:r>
        <w:t>102</w:t>
      </w:r>
      <w:r>
        <w:fldChar w:fldCharType="end"/>
      </w:r>
      <w:bookmarkEnd w:id="2442"/>
      <w:r>
        <w:t xml:space="preserve"> — Отображение сведений о версии файла с плановыми показателями</w:t>
      </w:r>
    </w:p>
    <w:bookmarkEnd w:id="2440"/>
    <w:p w14:paraId="11BD7157">
      <w:pPr>
        <w:pStyle w:val="69"/>
      </w:pPr>
      <w:bookmarkStart w:id="2443" w:name="_Hlk183101089"/>
      <w:r>
        <w:t>Всплывающее окно содержит сведения о версии файла в полях:</w:t>
      </w:r>
    </w:p>
    <w:p w14:paraId="2BB1DA91">
      <w:pPr>
        <w:pStyle w:val="76"/>
      </w:pPr>
      <w:r>
        <w:t>«Версия файла»;</w:t>
      </w:r>
    </w:p>
    <w:p w14:paraId="611ABCD9">
      <w:pPr>
        <w:pStyle w:val="76"/>
      </w:pPr>
      <w:r>
        <w:t>«Создано»;</w:t>
      </w:r>
    </w:p>
    <w:p w14:paraId="59CBB84F">
      <w:pPr>
        <w:pStyle w:val="76"/>
      </w:pPr>
      <w:r>
        <w:t>«Создатель»;</w:t>
      </w:r>
    </w:p>
    <w:p w14:paraId="776A829E">
      <w:pPr>
        <w:pStyle w:val="76"/>
      </w:pPr>
      <w:r>
        <w:t>«Изменено»;</w:t>
      </w:r>
    </w:p>
    <w:p w14:paraId="4C21D205">
      <w:pPr>
        <w:pStyle w:val="76"/>
      </w:pPr>
      <w:r>
        <w:t>«Редактор»;</w:t>
      </w:r>
    </w:p>
    <w:p w14:paraId="6321D625">
      <w:pPr>
        <w:pStyle w:val="76"/>
      </w:pPr>
      <w:r>
        <w:t>«Поступление».</w:t>
      </w:r>
    </w:p>
    <w:bookmarkEnd w:id="2443"/>
    <w:p w14:paraId="6985FC19">
      <w:pPr>
        <w:pStyle w:val="60"/>
      </w:pPr>
      <w:bookmarkStart w:id="2444" w:name="_Ref166666538"/>
      <w:bookmarkStart w:id="2445" w:name="_Toc167122629"/>
      <w:bookmarkStart w:id="2446" w:name="_Toc225866351"/>
      <w:r>
        <w:t>Загрузка и публикация плановых объемов территориальной базовой программы ОМС</w:t>
      </w:r>
      <w:bookmarkEnd w:id="2444"/>
      <w:bookmarkEnd w:id="2445"/>
      <w:bookmarkEnd w:id="2446"/>
    </w:p>
    <w:p w14:paraId="25121E4A">
      <w:pPr>
        <w:pStyle w:val="69"/>
      </w:pPr>
      <w:r>
        <w:t>Формирование плановых годовых показателей для каждой МО осуществляется путем загрузки внешнего файла с утвержденными плановыми объемами территориальной базовой программы ОМС МО. Сведения загружаются по единому шаблону.</w:t>
      </w:r>
    </w:p>
    <w:p w14:paraId="4662BA55">
      <w:pPr>
        <w:pStyle w:val="69"/>
      </w:pPr>
      <w:r>
        <w:t xml:space="preserve">Загрузка </w:t>
      </w:r>
      <w:bookmarkStart w:id="2447" w:name="_Hlk205802089"/>
      <w:r>
        <w:t xml:space="preserve">и публикация плановых объемов </w:t>
      </w:r>
      <w:bookmarkEnd w:id="2447"/>
      <w:r>
        <w:t>территориальной базовой программы ОМС доступна сотруднику ТФОМС с ролью Плательщик ТФОМС.</w:t>
      </w:r>
    </w:p>
    <w:p w14:paraId="3FF2D913">
      <w:pPr>
        <w:pStyle w:val="61"/>
      </w:pPr>
      <w:bookmarkStart w:id="2448" w:name="_Ref201942156"/>
      <w:bookmarkStart w:id="2449" w:name="_Hlk205802152"/>
      <w:r>
        <w:t>Выгрузка шаблона</w:t>
      </w:r>
      <w:bookmarkEnd w:id="2448"/>
    </w:p>
    <w:bookmarkEnd w:id="2449"/>
    <w:p w14:paraId="326D67BB">
      <w:pPr>
        <w:pStyle w:val="69"/>
      </w:pPr>
      <w:r>
        <w:t xml:space="preserve">Чтобы выгрузить шаблон для внесения </w:t>
      </w:r>
      <w:bookmarkStart w:id="2450" w:name="_Hlk166592314"/>
      <w:r>
        <w:t xml:space="preserve">плановых годовых показателей, </w:t>
      </w:r>
      <w:bookmarkEnd w:id="2450"/>
      <w:r>
        <w:t xml:space="preserve">необходимо перейти в подраздел «План», нажать кнопку «Выгрузить шаблон» (рис. </w:t>
      </w:r>
      <w:r>
        <w:fldChar w:fldCharType="begin"/>
      </w:r>
      <w:r>
        <w:instrText xml:space="preserve"> REF  _Ref171359575 \h\#\0   \* MERGEFORMAT </w:instrText>
      </w:r>
      <w:r>
        <w:fldChar w:fldCharType="separate"/>
      </w:r>
      <w:r>
        <w:t>103</w:t>
      </w:r>
      <w:r>
        <w:fldChar w:fldCharType="end"/>
      </w:r>
      <w:r>
        <w:t>) и сохранить файл в формате XLSX.</w:t>
      </w:r>
    </w:p>
    <w:p w14:paraId="2A314AC6">
      <w:pPr>
        <w:pStyle w:val="73"/>
      </w:pPr>
      <w:r>
        <w:drawing>
          <wp:inline distT="0" distB="0" distL="0" distR="0">
            <wp:extent cx="3959860" cy="2368550"/>
            <wp:effectExtent l="19050" t="19050" r="21590" b="12700"/>
            <wp:docPr id="965276963" name="Рисунок 965276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276963" name="Рисунок 965276963"/>
                    <pic:cNvPicPr>
                      <a:picLocks noChangeAspect="1"/>
                    </pic:cNvPicPr>
                  </pic:nvPicPr>
                  <pic:blipFill>
                    <a:blip r:embed="rId130"/>
                    <a:stretch>
                      <a:fillRect/>
                    </a:stretch>
                  </pic:blipFill>
                  <pic:spPr>
                    <a:xfrm>
                      <a:off x="0" y="0"/>
                      <a:ext cx="3960000" cy="2369172"/>
                    </a:xfrm>
                    <a:prstGeom prst="rect">
                      <a:avLst/>
                    </a:prstGeom>
                    <a:ln w="3175" cmpd="sng">
                      <a:solidFill>
                        <a:srgbClr val="000000"/>
                      </a:solidFill>
                    </a:ln>
                  </pic:spPr>
                </pic:pic>
              </a:graphicData>
            </a:graphic>
          </wp:inline>
        </w:drawing>
      </w:r>
    </w:p>
    <w:p w14:paraId="400E5F9A">
      <w:pPr>
        <w:pStyle w:val="74"/>
      </w:pPr>
      <w:bookmarkStart w:id="2451" w:name="_Ref171359575"/>
      <w:r>
        <w:t xml:space="preserve">Рисунок </w:t>
      </w:r>
      <w:r>
        <w:fldChar w:fldCharType="begin"/>
      </w:r>
      <w:r>
        <w:instrText xml:space="preserve"> SEQ Рисунок \* ARABIC </w:instrText>
      </w:r>
      <w:r>
        <w:fldChar w:fldCharType="separate"/>
      </w:r>
      <w:r>
        <w:t>103</w:t>
      </w:r>
      <w:r>
        <w:fldChar w:fldCharType="end"/>
      </w:r>
      <w:bookmarkEnd w:id="2451"/>
      <w:r>
        <w:t xml:space="preserve"> — </w:t>
      </w:r>
      <w:bookmarkStart w:id="2452" w:name="_Hlk183100054"/>
      <w:r>
        <w:t>Выгрузка шаблона плановых годовых показателей</w:t>
      </w:r>
      <w:bookmarkEnd w:id="2452"/>
    </w:p>
    <w:p w14:paraId="02767057">
      <w:pPr>
        <w:pStyle w:val="69"/>
      </w:pPr>
      <w:r>
        <w:t>Шаблон содержит список всех медицинских организаций, включенных в территориальную программу ОМС.</w:t>
      </w:r>
    </w:p>
    <w:p w14:paraId="443E88C8">
      <w:pPr>
        <w:pStyle w:val="61"/>
      </w:pPr>
      <w:bookmarkStart w:id="2453" w:name="_Ref201942169"/>
      <w:bookmarkStart w:id="2454" w:name="_Hlk205802176"/>
      <w:r>
        <w:t>Заполнение шаблона</w:t>
      </w:r>
      <w:bookmarkEnd w:id="2453"/>
    </w:p>
    <w:bookmarkEnd w:id="2454"/>
    <w:p w14:paraId="1C6FAE18">
      <w:pPr>
        <w:pStyle w:val="69"/>
      </w:pPr>
      <w:bookmarkStart w:id="2455" w:name="_Hlk205802209"/>
      <w:r>
        <w:t>Выгруженный шаблон необходимо заполнить актуальными значениями согласно протоколу заседания тарифной комиссии, на котором были утверждены плановые объемы.</w:t>
      </w:r>
    </w:p>
    <w:bookmarkEnd w:id="2455"/>
    <w:p w14:paraId="14C06178">
      <w:pPr>
        <w:pStyle w:val="69"/>
      </w:pPr>
      <w:r>
        <w:t>При заполнении шаблона необходимо строго соблюдать следующие правила:</w:t>
      </w:r>
    </w:p>
    <w:p w14:paraId="474A1016">
      <w:pPr>
        <w:pStyle w:val="76"/>
      </w:pPr>
      <w:bookmarkStart w:id="2456" w:name="_Hlk205802231"/>
      <w:r>
        <w:t>все данные должны располагаться на одном листе;</w:t>
      </w:r>
    </w:p>
    <w:p w14:paraId="3368045A">
      <w:pPr>
        <w:pStyle w:val="76"/>
      </w:pPr>
      <w:r>
        <w:t>порядок расположения столбцов должен соответствовать расположению столбцов в шаблоне — не допускается изменение порядка следования столбцов;</w:t>
      </w:r>
    </w:p>
    <w:p w14:paraId="27B417F4">
      <w:pPr>
        <w:pStyle w:val="76"/>
      </w:pPr>
      <w:r>
        <w:t>показатели количества (в ед.) должны быть всегда целым и неотрицательным числом;</w:t>
      </w:r>
    </w:p>
    <w:p w14:paraId="387BAD50">
      <w:pPr>
        <w:pStyle w:val="76"/>
      </w:pPr>
      <w:r>
        <w:t>значения сумм — числовой формат, не более двух знаков после запятой;</w:t>
      </w:r>
    </w:p>
    <w:p w14:paraId="7BB4ADE0">
      <w:pPr>
        <w:pStyle w:val="76"/>
      </w:pPr>
      <w:r>
        <w:t>строки не должны содержать формулы внутри ячеек;</w:t>
      </w:r>
    </w:p>
    <w:p w14:paraId="5D7F6615">
      <w:pPr>
        <w:pStyle w:val="76"/>
      </w:pPr>
      <w:r>
        <w:t>должна присутствовать хотя бы одна запись.</w:t>
      </w:r>
    </w:p>
    <w:p w14:paraId="2B44D4DA">
      <w:pPr>
        <w:pStyle w:val="69"/>
      </w:pPr>
      <w:r>
        <w:t>Сохранить заполненный шаблон в формате XLSX и убедиться, что объем файла не более 5 МБ.</w:t>
      </w:r>
    </w:p>
    <w:bookmarkEnd w:id="2456"/>
    <w:p w14:paraId="62B8C925">
      <w:pPr>
        <w:pStyle w:val="61"/>
      </w:pPr>
      <w:bookmarkStart w:id="2457" w:name="_Ref201939795"/>
      <w:bookmarkStart w:id="2458" w:name="_Hlk205802249"/>
      <w:r>
        <w:t>Загрузка заполненного шаблона</w:t>
      </w:r>
      <w:bookmarkEnd w:id="2457"/>
    </w:p>
    <w:bookmarkEnd w:id="2458"/>
    <w:p w14:paraId="607C8D82">
      <w:pPr>
        <w:pStyle w:val="69"/>
      </w:pPr>
      <w:r>
        <w:t xml:space="preserve">Для загрузки заполненного шаблона с плановыми годовыми показателями нажать кнопку «Импорт» в подразделе «План» (рис. </w:t>
      </w:r>
      <w:r>
        <w:fldChar w:fldCharType="begin"/>
      </w:r>
      <w:r>
        <w:instrText xml:space="preserve"> REF  _Ref171359575 \h\#\0   \* MERGEFORMAT </w:instrText>
      </w:r>
      <w:r>
        <w:fldChar w:fldCharType="separate"/>
      </w:r>
      <w:r>
        <w:t>103</w:t>
      </w:r>
      <w:r>
        <w:fldChar w:fldCharType="end"/>
      </w:r>
      <w:r>
        <w:t>).</w:t>
      </w:r>
    </w:p>
    <w:p w14:paraId="737C8941">
      <w:pPr>
        <w:pStyle w:val="69"/>
      </w:pPr>
      <w:bookmarkStart w:id="2459" w:name="_Hlk205802378"/>
      <w:r>
        <w:t xml:space="preserve">В открывшейся форме «Импорт плановых показателей» (рис. </w:t>
      </w:r>
      <w:r>
        <w:fldChar w:fldCharType="begin"/>
      </w:r>
      <w:r>
        <w:instrText xml:space="preserve"> REF  _Ref201942321 \h\#\0   \* MERGEFORMAT </w:instrText>
      </w:r>
      <w:r>
        <w:fldChar w:fldCharType="separate"/>
      </w:r>
      <w:r>
        <w:t>104</w:t>
      </w:r>
      <w:r>
        <w:fldChar w:fldCharType="end"/>
      </w:r>
      <w:r>
        <w:t>) заполнить обязательные поля:</w:t>
      </w:r>
    </w:p>
    <w:p w14:paraId="0BAA6AEB">
      <w:pPr>
        <w:pStyle w:val="76"/>
      </w:pPr>
      <w:r>
        <w:t>«Протокол» — номер протокола заседания тарифной комиссии, на котором утверждены загружаемые плановые объемы;</w:t>
      </w:r>
    </w:p>
    <w:p w14:paraId="23D466DB">
      <w:pPr>
        <w:pStyle w:val="76"/>
      </w:pPr>
      <w:r>
        <w:t>«Дата» — дата протокола заседания тарифной комиссии;</w:t>
      </w:r>
    </w:p>
    <w:p w14:paraId="267A9CDA">
      <w:pPr>
        <w:pStyle w:val="76"/>
      </w:pPr>
      <w:r>
        <w:t>«ОКТМО» — территория страхования;</w:t>
      </w:r>
    </w:p>
    <w:p w14:paraId="48E02100">
      <w:pPr>
        <w:pStyle w:val="76"/>
      </w:pPr>
      <w:r>
        <w:t>«Год» — период, за который производится загрузка плановых объемов.</w:t>
      </w:r>
    </w:p>
    <w:p w14:paraId="2B90597B">
      <w:pPr>
        <w:pStyle w:val="73"/>
      </w:pPr>
      <w:r>
        <w:drawing>
          <wp:inline distT="0" distB="0" distL="0" distR="0">
            <wp:extent cx="2159635" cy="2834005"/>
            <wp:effectExtent l="19050" t="19050" r="12065" b="23495"/>
            <wp:docPr id="546480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48062" name="Рисунок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2160000" cy="2834540"/>
                    </a:xfrm>
                    <a:prstGeom prst="rect">
                      <a:avLst/>
                    </a:prstGeom>
                    <a:noFill/>
                    <a:ln w="3175" cmpd="sng">
                      <a:solidFill>
                        <a:srgbClr val="000000"/>
                      </a:solidFill>
                    </a:ln>
                  </pic:spPr>
                </pic:pic>
              </a:graphicData>
            </a:graphic>
          </wp:inline>
        </w:drawing>
      </w:r>
    </w:p>
    <w:p w14:paraId="5BC59CC6">
      <w:pPr>
        <w:pStyle w:val="74"/>
      </w:pPr>
      <w:bookmarkStart w:id="2460" w:name="_Ref201942321"/>
      <w:r>
        <w:t xml:space="preserve">Рисунок </w:t>
      </w:r>
      <w:r>
        <w:fldChar w:fldCharType="begin"/>
      </w:r>
      <w:r>
        <w:instrText xml:space="preserve"> SEQ Рисунок \* ARABIC </w:instrText>
      </w:r>
      <w:r>
        <w:fldChar w:fldCharType="separate"/>
      </w:r>
      <w:r>
        <w:t>104</w:t>
      </w:r>
      <w:r>
        <w:fldChar w:fldCharType="end"/>
      </w:r>
      <w:bookmarkEnd w:id="2460"/>
      <w:r>
        <w:t xml:space="preserve"> — Импорт плановых показателей</w:t>
      </w:r>
    </w:p>
    <w:p w14:paraId="254D8E5E">
      <w:pPr>
        <w:pStyle w:val="69"/>
      </w:pPr>
      <w:r>
        <w:t>После заполнения обязательных полей формы нажать кнопку «Выбрать» и выбрать файл с плановыми годовыми показателями или перетащить файл в область, выделенную пунктирной линией</w:t>
      </w:r>
      <w:bookmarkStart w:id="2461" w:name="_Hlk183100403"/>
      <w:r>
        <w:t>. Объем загружаемого файла не должен превышать 5 МБ.</w:t>
      </w:r>
    </w:p>
    <w:bookmarkEnd w:id="2461"/>
    <w:p w14:paraId="18E28ABF">
      <w:pPr>
        <w:pStyle w:val="69"/>
      </w:pPr>
      <w:bookmarkStart w:id="2462" w:name="_Hlk183100504"/>
      <w:r>
        <w:t>Нажать кнопку «Сохранить» для отправки выбранного файла на загрузку. При успешной отправке файла на загрузку отображается соответствующее сообщение (рис. </w:t>
      </w:r>
      <w:r>
        <w:fldChar w:fldCharType="begin"/>
      </w:r>
      <w:r>
        <w:instrText xml:space="preserve"> REF  _Ref171359577 \h\#\0   \* MERGEFORMAT </w:instrText>
      </w:r>
      <w:r>
        <w:fldChar w:fldCharType="separate"/>
      </w:r>
      <w:r>
        <w:t>105</w:t>
      </w:r>
      <w:r>
        <w:fldChar w:fldCharType="end"/>
      </w:r>
      <w:r>
        <w:t>).</w:t>
      </w:r>
    </w:p>
    <w:p w14:paraId="45F17F0D">
      <w:pPr>
        <w:pStyle w:val="73"/>
      </w:pPr>
      <w:r>
        <w:drawing>
          <wp:inline distT="0" distB="0" distL="0" distR="0">
            <wp:extent cx="2159635" cy="532765"/>
            <wp:effectExtent l="19050" t="19050" r="12065" b="19685"/>
            <wp:docPr id="2851394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139415" name="Рисунок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2160000" cy="532839"/>
                    </a:xfrm>
                    <a:prstGeom prst="rect">
                      <a:avLst/>
                    </a:prstGeom>
                    <a:noFill/>
                    <a:ln w="3175" cmpd="sng">
                      <a:solidFill>
                        <a:srgbClr val="000000"/>
                      </a:solidFill>
                    </a:ln>
                  </pic:spPr>
                </pic:pic>
              </a:graphicData>
            </a:graphic>
          </wp:inline>
        </w:drawing>
      </w:r>
    </w:p>
    <w:p w14:paraId="3873FFAE">
      <w:pPr>
        <w:pStyle w:val="74"/>
      </w:pPr>
      <w:bookmarkStart w:id="2463" w:name="_Ref171359577"/>
      <w:r>
        <w:t xml:space="preserve">Рисунок </w:t>
      </w:r>
      <w:r>
        <w:fldChar w:fldCharType="begin"/>
      </w:r>
      <w:r>
        <w:instrText xml:space="preserve"> SEQ Рисунок \* ARABIC </w:instrText>
      </w:r>
      <w:r>
        <w:fldChar w:fldCharType="separate"/>
      </w:r>
      <w:r>
        <w:t>105</w:t>
      </w:r>
      <w:r>
        <w:fldChar w:fldCharType="end"/>
      </w:r>
      <w:bookmarkEnd w:id="2463"/>
      <w:r>
        <w:t xml:space="preserve"> — Сообщение об успешной отправке файла на загрузку</w:t>
      </w:r>
      <w:bookmarkEnd w:id="2462"/>
    </w:p>
    <w:bookmarkEnd w:id="2459"/>
    <w:p w14:paraId="2F19690B">
      <w:pPr>
        <w:pStyle w:val="61"/>
      </w:pPr>
      <w:bookmarkStart w:id="2464" w:name="_Ref201942190"/>
      <w:bookmarkStart w:id="2465" w:name="_Hlk205802443"/>
      <w:r>
        <w:t xml:space="preserve">Просмотр истории </w:t>
      </w:r>
      <w:bookmarkStart w:id="2466" w:name="_Hlk201936511"/>
      <w:r>
        <w:t>загружаемых файлов</w:t>
      </w:r>
      <w:bookmarkEnd w:id="2464"/>
      <w:bookmarkEnd w:id="2466"/>
    </w:p>
    <w:p w14:paraId="7CDF91F3">
      <w:pPr>
        <w:pStyle w:val="69"/>
      </w:pPr>
      <w:r>
        <w:t xml:space="preserve">Для проверки статуса загружаемого файла в ленте главного меню нажать кнопку «Все разделы» и в раскрывающемся меню выбрать пункт «История загружаемых файлов» (рис. </w:t>
      </w:r>
      <w:r>
        <w:fldChar w:fldCharType="begin"/>
      </w:r>
      <w:r>
        <w:instrText xml:space="preserve"> REF  _Ref199953677 \h\#\0   \* MERGEFORMAT </w:instrText>
      </w:r>
      <w:r>
        <w:fldChar w:fldCharType="separate"/>
      </w:r>
      <w:r>
        <w:t>106</w:t>
      </w:r>
      <w:r>
        <w:fldChar w:fldCharType="end"/>
      </w:r>
      <w:r>
        <w:t>).</w:t>
      </w:r>
    </w:p>
    <w:p w14:paraId="27EF1802">
      <w:pPr>
        <w:pStyle w:val="73"/>
      </w:pPr>
      <w:r>
        <w:drawing>
          <wp:inline distT="0" distB="0" distL="0" distR="0">
            <wp:extent cx="5039995" cy="2129790"/>
            <wp:effectExtent l="19050" t="19050" r="27305" b="22860"/>
            <wp:docPr id="143008566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085660" name="Рисунок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5040000" cy="2130014"/>
                    </a:xfrm>
                    <a:prstGeom prst="rect">
                      <a:avLst/>
                    </a:prstGeom>
                    <a:noFill/>
                    <a:ln w="3175" cmpd="sng">
                      <a:solidFill>
                        <a:srgbClr val="000000"/>
                      </a:solidFill>
                    </a:ln>
                  </pic:spPr>
                </pic:pic>
              </a:graphicData>
            </a:graphic>
          </wp:inline>
        </w:drawing>
      </w:r>
    </w:p>
    <w:p w14:paraId="1A78BA9A">
      <w:pPr>
        <w:pStyle w:val="74"/>
      </w:pPr>
      <w:bookmarkStart w:id="2467" w:name="_Ref199953677"/>
      <w:bookmarkStart w:id="2468" w:name="_Ref199962610"/>
      <w:r>
        <w:t xml:space="preserve">Рисунок </w:t>
      </w:r>
      <w:r>
        <w:fldChar w:fldCharType="begin"/>
      </w:r>
      <w:r>
        <w:instrText xml:space="preserve"> SEQ Рисунок \* ARABIC </w:instrText>
      </w:r>
      <w:r>
        <w:fldChar w:fldCharType="separate"/>
      </w:r>
      <w:r>
        <w:t>106</w:t>
      </w:r>
      <w:r>
        <w:fldChar w:fldCharType="end"/>
      </w:r>
      <w:bookmarkEnd w:id="2467"/>
      <w:r>
        <w:t xml:space="preserve"> — Всплывающее меню «Все разделы». Выбор пункта «История загружаемых файлов»</w:t>
      </w:r>
      <w:bookmarkEnd w:id="2468"/>
    </w:p>
    <w:p w14:paraId="249B706D">
      <w:pPr>
        <w:pStyle w:val="69"/>
      </w:pPr>
      <w:r>
        <w:t xml:space="preserve">Произойдет переход в раздел «История загружаемых файлов (рис. </w:t>
      </w:r>
      <w:r>
        <w:fldChar w:fldCharType="begin"/>
      </w:r>
      <w:r>
        <w:instrText xml:space="preserve"> REF  _Ref200029505 \h\#\0   \* MERGEFORMAT </w:instrText>
      </w:r>
      <w:r>
        <w:fldChar w:fldCharType="separate"/>
      </w:r>
      <w:r>
        <w:t>107</w:t>
      </w:r>
      <w:r>
        <w:fldChar w:fldCharType="end"/>
      </w:r>
      <w:r>
        <w:t>).</w:t>
      </w:r>
    </w:p>
    <w:p w14:paraId="7A34CE33">
      <w:pPr>
        <w:pStyle w:val="73"/>
      </w:pPr>
      <w:r>
        <w:drawing>
          <wp:inline distT="0" distB="0" distL="0" distR="0">
            <wp:extent cx="6118860" cy="2758440"/>
            <wp:effectExtent l="19050" t="19050" r="15240" b="22860"/>
            <wp:docPr id="18166944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94422" name="Рисунок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6118860" cy="2758440"/>
                    </a:xfrm>
                    <a:prstGeom prst="rect">
                      <a:avLst/>
                    </a:prstGeom>
                    <a:noFill/>
                    <a:ln w="3175" cmpd="sng">
                      <a:solidFill>
                        <a:srgbClr val="000000"/>
                      </a:solidFill>
                    </a:ln>
                  </pic:spPr>
                </pic:pic>
              </a:graphicData>
            </a:graphic>
          </wp:inline>
        </w:drawing>
      </w:r>
    </w:p>
    <w:p w14:paraId="56D77B1A">
      <w:pPr>
        <w:pStyle w:val="74"/>
      </w:pPr>
      <w:bookmarkStart w:id="2469" w:name="_Ref200029505"/>
      <w:r>
        <w:t xml:space="preserve">Рисунок </w:t>
      </w:r>
      <w:r>
        <w:fldChar w:fldCharType="begin"/>
      </w:r>
      <w:r>
        <w:instrText xml:space="preserve"> SEQ Рисунок \* ARABIC </w:instrText>
      </w:r>
      <w:r>
        <w:fldChar w:fldCharType="separate"/>
      </w:r>
      <w:r>
        <w:t>107</w:t>
      </w:r>
      <w:r>
        <w:fldChar w:fldCharType="end"/>
      </w:r>
      <w:bookmarkEnd w:id="2469"/>
      <w:r>
        <w:t xml:space="preserve"> — История загружаемых файлов</w:t>
      </w:r>
    </w:p>
    <w:p w14:paraId="239A88F6">
      <w:pPr>
        <w:pStyle w:val="69"/>
      </w:pPr>
      <w:r>
        <w:t>Табличная часть содержит следующие поля:</w:t>
      </w:r>
    </w:p>
    <w:p w14:paraId="7A850A26">
      <w:pPr>
        <w:pStyle w:val="76"/>
      </w:pPr>
      <w:r>
        <w:t>поле выбора элемента списка;</w:t>
      </w:r>
    </w:p>
    <w:p w14:paraId="5CE34A44">
      <w:pPr>
        <w:pStyle w:val="76"/>
      </w:pPr>
      <w:r>
        <w:t>«Логин пользователя» — учетная запись пользователя, инициировавшего загрузку файла с плановыми показателями;</w:t>
      </w:r>
    </w:p>
    <w:p w14:paraId="16A4F34A">
      <w:pPr>
        <w:pStyle w:val="76"/>
      </w:pPr>
      <w:r>
        <w:t>«Тип шаблона» — «Плановые показатели»;</w:t>
      </w:r>
    </w:p>
    <w:p w14:paraId="51161687">
      <w:pPr>
        <w:pStyle w:val="76"/>
      </w:pPr>
      <w:r>
        <w:t>«Дата загрузки» — дата загрузки шаблона;</w:t>
      </w:r>
    </w:p>
    <w:p w14:paraId="576B1F2B">
      <w:pPr>
        <w:pStyle w:val="76"/>
      </w:pPr>
      <w:r>
        <w:t>«Файл» — имя загруженного файла (активная ссылка на загруженный файл);</w:t>
      </w:r>
    </w:p>
    <w:p w14:paraId="4397A490">
      <w:pPr>
        <w:pStyle w:val="76"/>
      </w:pPr>
      <w:r>
        <w:t>«Статус загрузки» — текущее состояние. Возможные значения:</w:t>
      </w:r>
    </w:p>
    <w:p w14:paraId="555975E3">
      <w:pPr>
        <w:pStyle w:val="78"/>
      </w:pPr>
      <w:r>
        <w:t>«Загрузка завершена» — файл с плановыми показателями успешно загружен, в столбце «Просмотр» доступна ссылка перехода в раздел «Мониторинг»;</w:t>
      </w:r>
    </w:p>
    <w:p w14:paraId="102173F5">
      <w:pPr>
        <w:pStyle w:val="78"/>
      </w:pPr>
      <w:r>
        <w:t>«Ошибка валидации» — обнаружены ошибки при проверке загружаемого файла;</w:t>
      </w:r>
    </w:p>
    <w:p w14:paraId="2B911064">
      <w:pPr>
        <w:pStyle w:val="76"/>
      </w:pPr>
      <w:r>
        <w:t>«Дополнительная информация» — отображаются отчетный год и код ОКТМО, по которым загружен шаблон;</w:t>
      </w:r>
    </w:p>
    <w:p w14:paraId="772E8B44">
      <w:pPr>
        <w:pStyle w:val="76"/>
      </w:pPr>
      <w:r>
        <w:t>«Просмотр» — в случае успешного завершения загрузки отображается ссылка для перехода в раздел «Мониторинг».</w:t>
      </w:r>
    </w:p>
    <w:p w14:paraId="3C2AA93B">
      <w:pPr>
        <w:pStyle w:val="69"/>
      </w:pPr>
      <w:r>
        <w:t>После успешной загрузки файла соответствующая запись переводится в статус «Загрузка завершена», а ссылка на вкладку «Мониторинг» в столбце «Просмотр» доступна.</w:t>
      </w:r>
    </w:p>
    <w:p w14:paraId="43675428">
      <w:pPr>
        <w:pStyle w:val="61"/>
      </w:pPr>
      <w:bookmarkStart w:id="2470" w:name="_Ref201942195"/>
      <w:r>
        <w:t>Исправление ошибок загрузки файла</w:t>
      </w:r>
      <w:bookmarkEnd w:id="2470"/>
    </w:p>
    <w:p w14:paraId="5A5A0B7C">
      <w:pPr>
        <w:pStyle w:val="69"/>
      </w:pPr>
      <w:r>
        <w:t>Отображение в строке записи загружаемого файла в поле «Статус загрузки» значения «Ошибка валидации» свидетельствует о наличии ошибок, выявленных при валидации (проверке) загружаемого файла.</w:t>
      </w:r>
    </w:p>
    <w:p w14:paraId="471DC361">
      <w:pPr>
        <w:pStyle w:val="69"/>
      </w:pPr>
      <w:r>
        <w:t>Если рядом со статусом присутствует информация о размере файла, то пользователю доступен файл с перечнем ошибок, который можно скачать нажатием мыши по тексту статуса.</w:t>
      </w:r>
    </w:p>
    <w:p w14:paraId="4FA19FB8">
      <w:pPr>
        <w:pStyle w:val="69"/>
      </w:pPr>
      <w:r>
        <w:t>Каждая запись об ошибке содержит в себе следующую информацию:</w:t>
      </w:r>
    </w:p>
    <w:p w14:paraId="067944F7">
      <w:pPr>
        <w:pStyle w:val="69"/>
        <w:numPr>
          <w:ilvl w:val="0"/>
          <w:numId w:val="24"/>
        </w:numPr>
        <w:ind w:left="0" w:firstLine="709"/>
      </w:pPr>
      <w:r>
        <w:t>«Строка» — номер строки в файле загруженного шаблона;</w:t>
      </w:r>
    </w:p>
    <w:p w14:paraId="75577984">
      <w:pPr>
        <w:pStyle w:val="69"/>
        <w:numPr>
          <w:ilvl w:val="0"/>
          <w:numId w:val="24"/>
        </w:numPr>
        <w:ind w:left="0" w:firstLine="709"/>
      </w:pPr>
      <w:r>
        <w:t>«Столбец» — буквенный код столбца в файле загруженного шаблона;</w:t>
      </w:r>
    </w:p>
    <w:p w14:paraId="37DDA93A">
      <w:pPr>
        <w:pStyle w:val="69"/>
        <w:numPr>
          <w:ilvl w:val="0"/>
          <w:numId w:val="24"/>
        </w:numPr>
        <w:ind w:left="0" w:firstLine="709"/>
      </w:pPr>
      <w:r>
        <w:t>«Код МО» — код МО в системе ОМС;</w:t>
      </w:r>
    </w:p>
    <w:p w14:paraId="4DB1DBAE">
      <w:pPr>
        <w:pStyle w:val="69"/>
        <w:numPr>
          <w:ilvl w:val="0"/>
          <w:numId w:val="24"/>
        </w:numPr>
        <w:ind w:left="0" w:firstLine="709"/>
      </w:pPr>
      <w:r>
        <w:t>«Код профиля МП» — код профиля Мониторинга;</w:t>
      </w:r>
    </w:p>
    <w:p w14:paraId="3B45723C">
      <w:pPr>
        <w:pStyle w:val="69"/>
        <w:numPr>
          <w:ilvl w:val="0"/>
          <w:numId w:val="24"/>
        </w:numPr>
        <w:ind w:left="0" w:firstLine="709"/>
      </w:pPr>
      <w:r>
        <w:t>«Наименование профиля МП» — полное наименование профиля Мониторинга;</w:t>
      </w:r>
    </w:p>
    <w:p w14:paraId="693F9B3E">
      <w:pPr>
        <w:pStyle w:val="69"/>
        <w:numPr>
          <w:ilvl w:val="0"/>
          <w:numId w:val="24"/>
        </w:numPr>
        <w:ind w:left="0" w:firstLine="709"/>
      </w:pPr>
      <w:r>
        <w:t>код и текст ошибки — перечень возможных ошибок.</w:t>
      </w:r>
    </w:p>
    <w:p w14:paraId="723C4155">
      <w:pPr>
        <w:pStyle w:val="69"/>
      </w:pPr>
      <w:r>
        <w:t>Полный перечень возможных ошибок, причины их возникновения и способы устранения приведены в таблице </w:t>
      </w:r>
      <w:r>
        <w:fldChar w:fldCharType="begin"/>
      </w:r>
      <w:r>
        <w:instrText xml:space="preserve"> REF  _Ref201918258 \h\#\0   \* MERGEFORMAT </w:instrText>
      </w:r>
      <w:r>
        <w:fldChar w:fldCharType="separate"/>
      </w:r>
      <w:r>
        <w:t>3</w:t>
      </w:r>
      <w:r>
        <w:fldChar w:fldCharType="end"/>
      </w:r>
      <w:r>
        <w:t>.</w:t>
      </w:r>
    </w:p>
    <w:p w14:paraId="0CA35C68">
      <w:pPr>
        <w:pStyle w:val="84"/>
      </w:pPr>
      <w:bookmarkStart w:id="2471" w:name="_Ref201918258"/>
      <w:r>
        <w:rPr>
          <w:rStyle w:val="72"/>
        </w:rPr>
        <w:t xml:space="preserve">Таблица </w:t>
      </w:r>
      <w:r>
        <w:rPr>
          <w:rStyle w:val="72"/>
        </w:rPr>
        <w:fldChar w:fldCharType="begin"/>
      </w:r>
      <w:r>
        <w:rPr>
          <w:rStyle w:val="72"/>
        </w:rPr>
        <w:instrText xml:space="preserve"> SEQ Таблица \* ARABIC </w:instrText>
      </w:r>
      <w:r>
        <w:rPr>
          <w:rStyle w:val="72"/>
        </w:rPr>
        <w:fldChar w:fldCharType="separate"/>
      </w:r>
      <w:r>
        <w:rPr>
          <w:rStyle w:val="72"/>
        </w:rPr>
        <w:t>3</w:t>
      </w:r>
      <w:r>
        <w:rPr>
          <w:rStyle w:val="72"/>
        </w:rPr>
        <w:fldChar w:fldCharType="end"/>
      </w:r>
      <w:bookmarkEnd w:id="2471"/>
      <w:r>
        <w:rPr>
          <w:rStyle w:val="72"/>
        </w:rPr>
        <w:t xml:space="preserve"> —</w:t>
      </w:r>
      <w:r>
        <w:t xml:space="preserve"> Ошибки загружаемого шаблона плановых показателей и способы их устранения</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57" w:type="dxa"/>
          <w:left w:w="57" w:type="dxa"/>
          <w:bottom w:w="57" w:type="dxa"/>
          <w:right w:w="57" w:type="dxa"/>
        </w:tblCellMar>
      </w:tblPr>
      <w:tblGrid>
        <w:gridCol w:w="1287"/>
        <w:gridCol w:w="2155"/>
        <w:gridCol w:w="3304"/>
        <w:gridCol w:w="3005"/>
      </w:tblGrid>
      <w:tr w14:paraId="4427C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blHeader/>
        </w:trPr>
        <w:tc>
          <w:tcPr>
            <w:tcW w:w="660" w:type="pct"/>
            <w:tcBorders>
              <w:bottom w:val="double" w:color="auto" w:sz="4" w:space="0"/>
            </w:tcBorders>
            <w:vAlign w:val="center"/>
          </w:tcPr>
          <w:p w14:paraId="721CC570">
            <w:pPr>
              <w:pStyle w:val="79"/>
            </w:pPr>
            <w:r>
              <w:t>Код ошибки</w:t>
            </w:r>
          </w:p>
        </w:tc>
        <w:tc>
          <w:tcPr>
            <w:tcW w:w="1105" w:type="pct"/>
            <w:tcBorders>
              <w:bottom w:val="double" w:color="auto" w:sz="4" w:space="0"/>
            </w:tcBorders>
            <w:vAlign w:val="center"/>
          </w:tcPr>
          <w:p w14:paraId="54CF5AB7">
            <w:pPr>
              <w:pStyle w:val="79"/>
            </w:pPr>
            <w:r>
              <w:t>Текст ошибки</w:t>
            </w:r>
          </w:p>
        </w:tc>
        <w:tc>
          <w:tcPr>
            <w:tcW w:w="1694" w:type="pct"/>
            <w:tcBorders>
              <w:bottom w:val="double" w:color="auto" w:sz="4" w:space="0"/>
            </w:tcBorders>
            <w:vAlign w:val="center"/>
          </w:tcPr>
          <w:p w14:paraId="31D7F03A">
            <w:pPr>
              <w:pStyle w:val="79"/>
            </w:pPr>
            <w:r>
              <w:t>Возможные причины</w:t>
            </w:r>
          </w:p>
        </w:tc>
        <w:tc>
          <w:tcPr>
            <w:tcW w:w="1541" w:type="pct"/>
            <w:tcBorders>
              <w:bottom w:val="double" w:color="auto" w:sz="4" w:space="0"/>
            </w:tcBorders>
            <w:vAlign w:val="center"/>
          </w:tcPr>
          <w:p w14:paraId="3D9B90AC">
            <w:pPr>
              <w:pStyle w:val="79"/>
            </w:pPr>
            <w:r>
              <w:t>Способы устранения</w:t>
            </w:r>
          </w:p>
        </w:tc>
      </w:tr>
      <w:tr w14:paraId="2B40D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double" w:color="auto" w:sz="4" w:space="0"/>
              <w:bottom w:val="single" w:color="auto" w:sz="4" w:space="0"/>
            </w:tcBorders>
          </w:tcPr>
          <w:p w14:paraId="44346311">
            <w:pPr>
              <w:pStyle w:val="80"/>
            </w:pPr>
            <w:r>
              <w:t>ВС1</w:t>
            </w:r>
          </w:p>
        </w:tc>
        <w:tc>
          <w:tcPr>
            <w:tcW w:w="1105" w:type="pct"/>
            <w:tcBorders>
              <w:top w:val="double" w:color="auto" w:sz="4" w:space="0"/>
              <w:bottom w:val="single" w:color="auto" w:sz="4" w:space="0"/>
            </w:tcBorders>
          </w:tcPr>
          <w:p w14:paraId="28C94F4E">
            <w:pPr>
              <w:pStyle w:val="80"/>
            </w:pPr>
            <w:r>
              <w:t>Некорректное расположение столбцов в</w:t>
            </w:r>
            <w:r>
              <w:rPr>
                <w:lang w:val="en-US"/>
              </w:rPr>
              <w:t> </w:t>
            </w:r>
            <w:r>
              <w:t>загружаемом шаблоне</w:t>
            </w:r>
          </w:p>
        </w:tc>
        <w:tc>
          <w:tcPr>
            <w:tcW w:w="1694" w:type="pct"/>
            <w:tcBorders>
              <w:top w:val="double" w:color="auto" w:sz="4" w:space="0"/>
              <w:bottom w:val="single" w:color="auto" w:sz="4" w:space="0"/>
            </w:tcBorders>
          </w:tcPr>
          <w:p w14:paraId="77FF0B9E">
            <w:pPr>
              <w:pStyle w:val="104"/>
            </w:pPr>
            <w:r>
              <w:t>Состав профилей мониторинга с момента выгрузки шаблона из Системы мог быть изменен.</w:t>
            </w:r>
          </w:p>
          <w:p w14:paraId="4DF42BCB">
            <w:pPr>
              <w:pStyle w:val="104"/>
            </w:pPr>
            <w:r>
              <w:t>Структура шаблона была отредактирована вручную при заполнении плановых объемов</w:t>
            </w:r>
          </w:p>
        </w:tc>
        <w:tc>
          <w:tcPr>
            <w:tcW w:w="1541" w:type="pct"/>
            <w:tcBorders>
              <w:top w:val="double" w:color="auto" w:sz="4" w:space="0"/>
              <w:bottom w:val="single" w:color="auto" w:sz="4" w:space="0"/>
            </w:tcBorders>
          </w:tcPr>
          <w:p w14:paraId="5BBFF88C">
            <w:pPr>
              <w:pStyle w:val="80"/>
            </w:pPr>
            <w:r>
              <w:t>Выгрузить из Системы актуальный шаблон и перенести в него заполненные плановые показатели, обращая внимание на состав профилей</w:t>
            </w:r>
          </w:p>
        </w:tc>
      </w:tr>
      <w:tr w14:paraId="53F46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7185D792">
            <w:pPr>
              <w:pStyle w:val="80"/>
            </w:pPr>
            <w:r>
              <w:t>ВС2</w:t>
            </w:r>
          </w:p>
        </w:tc>
        <w:tc>
          <w:tcPr>
            <w:tcW w:w="1105" w:type="pct"/>
            <w:tcBorders>
              <w:top w:val="single" w:color="auto" w:sz="4" w:space="0"/>
              <w:bottom w:val="single" w:color="auto" w:sz="4" w:space="0"/>
            </w:tcBorders>
          </w:tcPr>
          <w:p w14:paraId="36ABE670">
            <w:pPr>
              <w:pStyle w:val="80"/>
            </w:pPr>
            <w:r>
              <w:t>Ошибка состава количественных и</w:t>
            </w:r>
            <w:r>
              <w:rPr>
                <w:lang w:val="en-US"/>
              </w:rPr>
              <w:t> </w:t>
            </w:r>
            <w:r>
              <w:t>финансовых показателей</w:t>
            </w:r>
          </w:p>
        </w:tc>
        <w:tc>
          <w:tcPr>
            <w:tcW w:w="1694" w:type="pct"/>
            <w:tcBorders>
              <w:top w:val="single" w:color="auto" w:sz="4" w:space="0"/>
              <w:bottom w:val="single" w:color="auto" w:sz="4" w:space="0"/>
            </w:tcBorders>
          </w:tcPr>
          <w:p w14:paraId="157F3EED">
            <w:pPr>
              <w:pStyle w:val="104"/>
            </w:pPr>
            <w:r>
              <w:t>В количественный показатель было введено нецелое, или отрицательное число.</w:t>
            </w:r>
          </w:p>
          <w:p w14:paraId="4A4F015F">
            <w:pPr>
              <w:pStyle w:val="104"/>
            </w:pPr>
            <w:r>
              <w:t>В финансовый показатель было введено отрицательное число, либо число, у которого больше двух знаков после запятой</w:t>
            </w:r>
          </w:p>
        </w:tc>
        <w:tc>
          <w:tcPr>
            <w:tcW w:w="1541" w:type="pct"/>
            <w:tcBorders>
              <w:top w:val="single" w:color="auto" w:sz="4" w:space="0"/>
              <w:bottom w:val="single" w:color="auto" w:sz="4" w:space="0"/>
            </w:tcBorders>
          </w:tcPr>
          <w:p w14:paraId="4B087AAD">
            <w:pPr>
              <w:pStyle w:val="80"/>
            </w:pPr>
            <w:r>
              <w:t>Привести ошибочное значение в соответствие требованиям</w:t>
            </w:r>
          </w:p>
        </w:tc>
      </w:tr>
      <w:tr w14:paraId="30531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632B1EAD">
            <w:pPr>
              <w:pStyle w:val="80"/>
            </w:pPr>
            <w:r>
              <w:t>ВС3</w:t>
            </w:r>
          </w:p>
        </w:tc>
        <w:tc>
          <w:tcPr>
            <w:tcW w:w="1105" w:type="pct"/>
            <w:tcBorders>
              <w:top w:val="single" w:color="auto" w:sz="4" w:space="0"/>
              <w:bottom w:val="single" w:color="auto" w:sz="4" w:space="0"/>
            </w:tcBorders>
          </w:tcPr>
          <w:p w14:paraId="0844C86A">
            <w:pPr>
              <w:pStyle w:val="80"/>
            </w:pPr>
            <w:r>
              <w:t>В загружаемом файле нет ни одной записи</w:t>
            </w:r>
          </w:p>
        </w:tc>
        <w:tc>
          <w:tcPr>
            <w:tcW w:w="1694" w:type="pct"/>
            <w:tcBorders>
              <w:top w:val="single" w:color="auto" w:sz="4" w:space="0"/>
              <w:bottom w:val="single" w:color="auto" w:sz="4" w:space="0"/>
            </w:tcBorders>
          </w:tcPr>
          <w:p w14:paraId="009E0424">
            <w:pPr>
              <w:pStyle w:val="104"/>
            </w:pPr>
            <w:r>
              <w:t>Был загружен пустой документ, или документ без единой записи о плановых объемах на медицинскую организацию.</w:t>
            </w:r>
          </w:p>
          <w:p w14:paraId="51C93DC2">
            <w:pPr>
              <w:pStyle w:val="104"/>
            </w:pPr>
            <w:r>
              <w:t>Ошибочная загрузка постороннего файла</w:t>
            </w:r>
          </w:p>
        </w:tc>
        <w:tc>
          <w:tcPr>
            <w:tcW w:w="1541" w:type="pct"/>
            <w:tcBorders>
              <w:top w:val="single" w:color="auto" w:sz="4" w:space="0"/>
              <w:bottom w:val="single" w:color="auto" w:sz="4" w:space="0"/>
            </w:tcBorders>
          </w:tcPr>
          <w:p w14:paraId="6DB0CEB5">
            <w:pPr>
              <w:pStyle w:val="80"/>
            </w:pPr>
            <w:r>
              <w:t>Проверить загружаемый файл</w:t>
            </w:r>
          </w:p>
        </w:tc>
      </w:tr>
      <w:tr w14:paraId="22477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7FCA060F">
            <w:pPr>
              <w:pStyle w:val="80"/>
            </w:pPr>
            <w:r>
              <w:t>ВС5</w:t>
            </w:r>
          </w:p>
        </w:tc>
        <w:tc>
          <w:tcPr>
            <w:tcW w:w="1105" w:type="pct"/>
            <w:tcBorders>
              <w:top w:val="single" w:color="auto" w:sz="4" w:space="0"/>
              <w:bottom w:val="single" w:color="auto" w:sz="4" w:space="0"/>
            </w:tcBorders>
          </w:tcPr>
          <w:p w14:paraId="045760EB">
            <w:pPr>
              <w:pStyle w:val="80"/>
            </w:pPr>
            <w:r>
              <w:t>Некорректное расположение записей в загружаемом файле</w:t>
            </w:r>
          </w:p>
        </w:tc>
        <w:tc>
          <w:tcPr>
            <w:tcW w:w="1694" w:type="pct"/>
            <w:tcBorders>
              <w:top w:val="single" w:color="auto" w:sz="4" w:space="0"/>
              <w:bottom w:val="single" w:color="auto" w:sz="4" w:space="0"/>
            </w:tcBorders>
          </w:tcPr>
          <w:p w14:paraId="272DC767">
            <w:pPr>
              <w:pStyle w:val="80"/>
            </w:pPr>
            <w:r>
              <w:t>В загружаемом шаблоне присутствует несколько листов с данными</w:t>
            </w:r>
          </w:p>
        </w:tc>
        <w:tc>
          <w:tcPr>
            <w:tcW w:w="1541" w:type="pct"/>
            <w:tcBorders>
              <w:top w:val="single" w:color="auto" w:sz="4" w:space="0"/>
              <w:bottom w:val="single" w:color="auto" w:sz="4" w:space="0"/>
            </w:tcBorders>
          </w:tcPr>
          <w:p w14:paraId="453B614A">
            <w:pPr>
              <w:pStyle w:val="80"/>
            </w:pPr>
            <w:r>
              <w:t>Исправить шаблон, разместив всю информацию на одном листе</w:t>
            </w:r>
          </w:p>
        </w:tc>
      </w:tr>
      <w:tr w14:paraId="39D61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2BCAFF49">
            <w:pPr>
              <w:pStyle w:val="80"/>
            </w:pPr>
            <w:r>
              <w:t>ВС6</w:t>
            </w:r>
          </w:p>
        </w:tc>
        <w:tc>
          <w:tcPr>
            <w:tcW w:w="1105" w:type="pct"/>
            <w:tcBorders>
              <w:top w:val="single" w:color="auto" w:sz="4" w:space="0"/>
              <w:bottom w:val="single" w:color="auto" w:sz="4" w:space="0"/>
            </w:tcBorders>
          </w:tcPr>
          <w:p w14:paraId="25B05083">
            <w:pPr>
              <w:pStyle w:val="80"/>
            </w:pPr>
            <w:r>
              <w:t>Найдены формулы в ячейках</w:t>
            </w:r>
          </w:p>
        </w:tc>
        <w:tc>
          <w:tcPr>
            <w:tcW w:w="1694" w:type="pct"/>
            <w:tcBorders>
              <w:top w:val="single" w:color="auto" w:sz="4" w:space="0"/>
              <w:bottom w:val="single" w:color="auto" w:sz="4" w:space="0"/>
            </w:tcBorders>
          </w:tcPr>
          <w:p w14:paraId="780D85E2">
            <w:pPr>
              <w:pStyle w:val="80"/>
            </w:pPr>
            <w:r>
              <w:t>При заполнении шаблона были использованы формулы в ячейках, которые не были в дальнейшем исключены</w:t>
            </w:r>
          </w:p>
        </w:tc>
        <w:tc>
          <w:tcPr>
            <w:tcW w:w="1541" w:type="pct"/>
            <w:tcBorders>
              <w:top w:val="single" w:color="auto" w:sz="4" w:space="0"/>
              <w:bottom w:val="single" w:color="auto" w:sz="4" w:space="0"/>
            </w:tcBorders>
          </w:tcPr>
          <w:p w14:paraId="101BD660">
            <w:pPr>
              <w:pStyle w:val="80"/>
            </w:pPr>
            <w:r>
              <w:t>Удалить формулу из проблемной ячейки, оставив результат вычислений в числовом формате</w:t>
            </w:r>
          </w:p>
        </w:tc>
      </w:tr>
      <w:tr w14:paraId="397F7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651EA054">
            <w:pPr>
              <w:pStyle w:val="80"/>
            </w:pPr>
            <w:r>
              <w:t>ВС8</w:t>
            </w:r>
          </w:p>
        </w:tc>
        <w:tc>
          <w:tcPr>
            <w:tcW w:w="1105" w:type="pct"/>
            <w:tcBorders>
              <w:top w:val="single" w:color="auto" w:sz="4" w:space="0"/>
              <w:bottom w:val="single" w:color="auto" w:sz="4" w:space="0"/>
            </w:tcBorders>
          </w:tcPr>
          <w:p w14:paraId="62F9B5BE">
            <w:pPr>
              <w:pStyle w:val="80"/>
            </w:pPr>
            <w:r>
              <w:t>Не заполнены наименования профилей МП</w:t>
            </w:r>
          </w:p>
        </w:tc>
        <w:tc>
          <w:tcPr>
            <w:tcW w:w="1694" w:type="pct"/>
            <w:tcBorders>
              <w:top w:val="single" w:color="auto" w:sz="4" w:space="0"/>
              <w:bottom w:val="single" w:color="auto" w:sz="4" w:space="0"/>
            </w:tcBorders>
          </w:tcPr>
          <w:p w14:paraId="11A449B8">
            <w:pPr>
              <w:pStyle w:val="104"/>
            </w:pPr>
            <w:r>
              <w:t>Ошибочно выбранный файл.</w:t>
            </w:r>
          </w:p>
          <w:p w14:paraId="20BE2433">
            <w:pPr>
              <w:pStyle w:val="104"/>
            </w:pPr>
            <w:r>
              <w:t>Ошибки при заполнении шаблона оператором</w:t>
            </w:r>
          </w:p>
        </w:tc>
        <w:tc>
          <w:tcPr>
            <w:tcW w:w="1541" w:type="pct"/>
            <w:tcBorders>
              <w:top w:val="single" w:color="auto" w:sz="4" w:space="0"/>
              <w:bottom w:val="single" w:color="auto" w:sz="4" w:space="0"/>
            </w:tcBorders>
          </w:tcPr>
          <w:p w14:paraId="766EA91B">
            <w:pPr>
              <w:pStyle w:val="104"/>
            </w:pPr>
            <w:r>
              <w:t>Проверить, что был выбран файл.</w:t>
            </w:r>
          </w:p>
          <w:p w14:paraId="5810DB37">
            <w:pPr>
              <w:pStyle w:val="104"/>
            </w:pPr>
            <w:r>
              <w:t>Выгрузить из Системы актуальный шаблон и перенести в него заполненные плановые показатели, обращая внимание на состав профилей</w:t>
            </w:r>
          </w:p>
        </w:tc>
      </w:tr>
      <w:tr w14:paraId="08359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6A957A8E">
            <w:pPr>
              <w:pStyle w:val="80"/>
            </w:pPr>
            <w:r>
              <w:t>СПП1</w:t>
            </w:r>
          </w:p>
        </w:tc>
        <w:tc>
          <w:tcPr>
            <w:tcW w:w="1105" w:type="pct"/>
            <w:tcBorders>
              <w:top w:val="single" w:color="auto" w:sz="4" w:space="0"/>
              <w:bottom w:val="single" w:color="auto" w:sz="4" w:space="0"/>
            </w:tcBorders>
          </w:tcPr>
          <w:p w14:paraId="038B9320">
            <w:pPr>
              <w:pStyle w:val="80"/>
            </w:pPr>
            <w:r>
              <w:t>Наименование профиля МП не соответствует справочнику</w:t>
            </w:r>
          </w:p>
        </w:tc>
        <w:tc>
          <w:tcPr>
            <w:tcW w:w="1694" w:type="pct"/>
            <w:tcBorders>
              <w:top w:val="single" w:color="auto" w:sz="4" w:space="0"/>
              <w:bottom w:val="single" w:color="auto" w:sz="4" w:space="0"/>
            </w:tcBorders>
          </w:tcPr>
          <w:p w14:paraId="1C97D791">
            <w:pPr>
              <w:pStyle w:val="80"/>
            </w:pPr>
            <w:r>
              <w:t>Структура профилей в шаблоне потеряла актуальность в связи с обновлением справочника структуры профилей</w:t>
            </w:r>
          </w:p>
        </w:tc>
        <w:tc>
          <w:tcPr>
            <w:tcW w:w="1541" w:type="pct"/>
            <w:tcBorders>
              <w:top w:val="single" w:color="auto" w:sz="4" w:space="0"/>
              <w:bottom w:val="single" w:color="auto" w:sz="4" w:space="0"/>
            </w:tcBorders>
          </w:tcPr>
          <w:p w14:paraId="1388C5A8">
            <w:pPr>
              <w:pStyle w:val="80"/>
            </w:pPr>
            <w:r>
              <w:t>Выгрузить из Системы актуальный шаблон и перенести в него заполненные плановые показатели, обращая внимание на состав профилей</w:t>
            </w:r>
          </w:p>
        </w:tc>
      </w:tr>
      <w:tr w14:paraId="05245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0C032A81">
            <w:pPr>
              <w:pStyle w:val="80"/>
            </w:pPr>
            <w:r>
              <w:t>СПП2</w:t>
            </w:r>
          </w:p>
        </w:tc>
        <w:tc>
          <w:tcPr>
            <w:tcW w:w="1105" w:type="pct"/>
            <w:tcBorders>
              <w:top w:val="single" w:color="auto" w:sz="4" w:space="0"/>
              <w:bottom w:val="single" w:color="auto" w:sz="4" w:space="0"/>
            </w:tcBorders>
          </w:tcPr>
          <w:p w14:paraId="708242C5">
            <w:pPr>
              <w:pStyle w:val="80"/>
            </w:pPr>
            <w:r>
              <w:t>Наименование профиля МП не соответствует в данных по количеству и сумме МП</w:t>
            </w:r>
          </w:p>
        </w:tc>
        <w:tc>
          <w:tcPr>
            <w:tcW w:w="1694" w:type="pct"/>
            <w:tcBorders>
              <w:top w:val="single" w:color="auto" w:sz="4" w:space="0"/>
              <w:bottom w:val="single" w:color="auto" w:sz="4" w:space="0"/>
            </w:tcBorders>
          </w:tcPr>
          <w:p w14:paraId="50486A57">
            <w:pPr>
              <w:pStyle w:val="80"/>
            </w:pPr>
            <w:r>
              <w:t>Ошибки при заполнении шаблона оператором</w:t>
            </w:r>
          </w:p>
        </w:tc>
        <w:tc>
          <w:tcPr>
            <w:tcW w:w="1541" w:type="pct"/>
            <w:tcBorders>
              <w:top w:val="single" w:color="auto" w:sz="4" w:space="0"/>
              <w:bottom w:val="single" w:color="auto" w:sz="4" w:space="0"/>
            </w:tcBorders>
          </w:tcPr>
          <w:p w14:paraId="631E6C93">
            <w:pPr>
              <w:pStyle w:val="80"/>
            </w:pPr>
            <w:r>
              <w:t>Выгрузить из Системы актуальный шаблон и перенести в него заполненные плановые показатели, обращая внимание на состав профилей</w:t>
            </w:r>
          </w:p>
        </w:tc>
      </w:tr>
      <w:tr w14:paraId="6F970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5F68E2B0">
            <w:pPr>
              <w:pStyle w:val="80"/>
            </w:pPr>
            <w:r>
              <w:t>СПП3</w:t>
            </w:r>
          </w:p>
        </w:tc>
        <w:tc>
          <w:tcPr>
            <w:tcW w:w="1105" w:type="pct"/>
            <w:tcBorders>
              <w:top w:val="single" w:color="auto" w:sz="4" w:space="0"/>
              <w:bottom w:val="single" w:color="auto" w:sz="4" w:space="0"/>
            </w:tcBorders>
          </w:tcPr>
          <w:p w14:paraId="55CD7259">
            <w:pPr>
              <w:pStyle w:val="80"/>
            </w:pPr>
            <w:r>
              <w:t>Код профиля МП не соответствует справочнику плановых показателей</w:t>
            </w:r>
          </w:p>
        </w:tc>
        <w:tc>
          <w:tcPr>
            <w:tcW w:w="1694" w:type="pct"/>
            <w:tcBorders>
              <w:top w:val="single" w:color="auto" w:sz="4" w:space="0"/>
              <w:bottom w:val="single" w:color="auto" w:sz="4" w:space="0"/>
            </w:tcBorders>
          </w:tcPr>
          <w:p w14:paraId="45A89633">
            <w:pPr>
              <w:pStyle w:val="80"/>
            </w:pPr>
            <w:r>
              <w:t>Структура профилей в шаблоне потеряла актуальность в связи с обновлением справочника структуры профилей</w:t>
            </w:r>
          </w:p>
        </w:tc>
        <w:tc>
          <w:tcPr>
            <w:tcW w:w="1541" w:type="pct"/>
            <w:tcBorders>
              <w:top w:val="single" w:color="auto" w:sz="4" w:space="0"/>
              <w:bottom w:val="single" w:color="auto" w:sz="4" w:space="0"/>
            </w:tcBorders>
          </w:tcPr>
          <w:p w14:paraId="0616537E">
            <w:pPr>
              <w:pStyle w:val="80"/>
            </w:pPr>
            <w:r>
              <w:t>Выгрузить из Системы актуальный шаблон и перенести в него заполненные плановые показатели, обращая внимание на состав профилей</w:t>
            </w:r>
          </w:p>
        </w:tc>
      </w:tr>
      <w:tr w14:paraId="301C7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0F482938">
            <w:pPr>
              <w:pStyle w:val="80"/>
            </w:pPr>
            <w:r>
              <w:t>СПП4</w:t>
            </w:r>
          </w:p>
        </w:tc>
        <w:tc>
          <w:tcPr>
            <w:tcW w:w="1105" w:type="pct"/>
            <w:tcBorders>
              <w:top w:val="single" w:color="auto" w:sz="4" w:space="0"/>
              <w:bottom w:val="single" w:color="auto" w:sz="4" w:space="0"/>
            </w:tcBorders>
          </w:tcPr>
          <w:p w14:paraId="5E6203B6">
            <w:pPr>
              <w:pStyle w:val="80"/>
            </w:pPr>
            <w:r>
              <w:t>Количество столбцов с показателями количества МП не соответствует количеству столбцов с показателями стоимости МП</w:t>
            </w:r>
          </w:p>
        </w:tc>
        <w:tc>
          <w:tcPr>
            <w:tcW w:w="1694" w:type="pct"/>
            <w:tcBorders>
              <w:top w:val="single" w:color="auto" w:sz="4" w:space="0"/>
              <w:bottom w:val="single" w:color="auto" w:sz="4" w:space="0"/>
            </w:tcBorders>
          </w:tcPr>
          <w:p w14:paraId="241E0E6F">
            <w:pPr>
              <w:pStyle w:val="80"/>
            </w:pPr>
            <w:r>
              <w:t>Структура профилей в шаблоне потеряла актуальность в связи с обновлением справочника структуры профилей</w:t>
            </w:r>
          </w:p>
        </w:tc>
        <w:tc>
          <w:tcPr>
            <w:tcW w:w="1541" w:type="pct"/>
            <w:tcBorders>
              <w:top w:val="single" w:color="auto" w:sz="4" w:space="0"/>
              <w:bottom w:val="single" w:color="auto" w:sz="4" w:space="0"/>
            </w:tcBorders>
          </w:tcPr>
          <w:p w14:paraId="554DB6FD">
            <w:pPr>
              <w:pStyle w:val="80"/>
            </w:pPr>
            <w:r>
              <w:t>Выгрузить из Системы актуальный шаблон и перенести в него заполненные плановые показатели, обращая внимание на состав профилей</w:t>
            </w:r>
          </w:p>
        </w:tc>
      </w:tr>
      <w:tr w14:paraId="0B548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4F7FB0B4">
            <w:pPr>
              <w:pStyle w:val="80"/>
            </w:pPr>
            <w:r>
              <w:t>СПП5</w:t>
            </w:r>
          </w:p>
        </w:tc>
        <w:tc>
          <w:tcPr>
            <w:tcW w:w="1105" w:type="pct"/>
            <w:tcBorders>
              <w:top w:val="single" w:color="auto" w:sz="4" w:space="0"/>
              <w:bottom w:val="single" w:color="auto" w:sz="4" w:space="0"/>
            </w:tcBorders>
          </w:tcPr>
          <w:p w14:paraId="70AAB72A">
            <w:pPr>
              <w:pStyle w:val="80"/>
            </w:pPr>
            <w:r>
              <w:t>Некорректная зависимость между показателями количества (единиц) и суммы (стоимости) плановой МП</w:t>
            </w:r>
          </w:p>
        </w:tc>
        <w:tc>
          <w:tcPr>
            <w:tcW w:w="1694" w:type="pct"/>
            <w:tcBorders>
              <w:top w:val="single" w:color="auto" w:sz="4" w:space="0"/>
              <w:bottom w:val="single" w:color="auto" w:sz="4" w:space="0"/>
            </w:tcBorders>
          </w:tcPr>
          <w:p w14:paraId="6041B4ED">
            <w:pPr>
              <w:pStyle w:val="80"/>
            </w:pPr>
            <w:r>
              <w:t>Если в профиле Мониторинга предусмотрены и количественная, и финансовая части, то должны выполняться следующие условия:</w:t>
            </w:r>
          </w:p>
          <w:p w14:paraId="53C6CCE0">
            <w:pPr>
              <w:pStyle w:val="104"/>
            </w:pPr>
            <w:r>
              <w:t>если Количество = 0, то и Сумма = 0;</w:t>
            </w:r>
          </w:p>
          <w:p w14:paraId="0CAE92FB">
            <w:pPr>
              <w:pStyle w:val="104"/>
            </w:pPr>
            <w:r>
              <w:t>если Количество &gt; 0, то Сумма не может быть равна 0;</w:t>
            </w:r>
          </w:p>
          <w:p w14:paraId="2049665A">
            <w:pPr>
              <w:pStyle w:val="104"/>
            </w:pPr>
            <w:r>
              <w:t>если Сумма &gt; 0, то Количество не может быть равно 0.</w:t>
            </w:r>
          </w:p>
          <w:p w14:paraId="3AE842E4">
            <w:pPr>
              <w:pStyle w:val="80"/>
            </w:pPr>
            <w:r>
              <w:t>Дополнительные условия для всех профилей:</w:t>
            </w:r>
          </w:p>
          <w:p w14:paraId="7B5B0781">
            <w:pPr>
              <w:pStyle w:val="104"/>
            </w:pPr>
            <w:r>
              <w:t xml:space="preserve">количество </w:t>
            </w:r>
            <w:r>
              <w:rPr>
                <w:lang w:val="en-US"/>
              </w:rPr>
              <w:t>&gt;=</w:t>
            </w:r>
            <w:r>
              <w:t xml:space="preserve"> </w:t>
            </w:r>
            <w:r>
              <w:rPr>
                <w:lang w:val="en-US"/>
              </w:rPr>
              <w:t>0</w:t>
            </w:r>
            <w:r>
              <w:t>;</w:t>
            </w:r>
          </w:p>
          <w:p w14:paraId="6E3BE888">
            <w:pPr>
              <w:pStyle w:val="104"/>
            </w:pPr>
            <w:r>
              <w:t xml:space="preserve">сумма </w:t>
            </w:r>
            <w:r>
              <w:rPr>
                <w:lang w:val="en-US"/>
              </w:rPr>
              <w:t>&gt;= 0</w:t>
            </w:r>
          </w:p>
        </w:tc>
        <w:tc>
          <w:tcPr>
            <w:tcW w:w="1541" w:type="pct"/>
            <w:tcBorders>
              <w:top w:val="single" w:color="auto" w:sz="4" w:space="0"/>
              <w:bottom w:val="single" w:color="auto" w:sz="4" w:space="0"/>
            </w:tcBorders>
          </w:tcPr>
          <w:p w14:paraId="2CFEE59B">
            <w:pPr>
              <w:pStyle w:val="80"/>
            </w:pPr>
            <w:r>
              <w:t>Перепроверить и исправить шаблон</w:t>
            </w:r>
          </w:p>
        </w:tc>
      </w:tr>
      <w:tr w14:paraId="7854B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bottom w:val="single" w:color="auto" w:sz="4" w:space="0"/>
            </w:tcBorders>
          </w:tcPr>
          <w:p w14:paraId="4607C4F1">
            <w:pPr>
              <w:pStyle w:val="80"/>
            </w:pPr>
            <w:r>
              <w:t>СПП6</w:t>
            </w:r>
          </w:p>
        </w:tc>
        <w:tc>
          <w:tcPr>
            <w:tcW w:w="1105" w:type="pct"/>
            <w:tcBorders>
              <w:top w:val="single" w:color="auto" w:sz="4" w:space="0"/>
              <w:bottom w:val="single" w:color="auto" w:sz="4" w:space="0"/>
            </w:tcBorders>
          </w:tcPr>
          <w:p w14:paraId="331B2AB7">
            <w:pPr>
              <w:pStyle w:val="80"/>
            </w:pPr>
            <w:r>
              <w:t>Дублирование данных по МО</w:t>
            </w:r>
          </w:p>
        </w:tc>
        <w:tc>
          <w:tcPr>
            <w:tcW w:w="1694" w:type="pct"/>
            <w:tcBorders>
              <w:top w:val="single" w:color="auto" w:sz="4" w:space="0"/>
              <w:bottom w:val="single" w:color="auto" w:sz="4" w:space="0"/>
            </w:tcBorders>
          </w:tcPr>
          <w:p w14:paraId="34428E2A">
            <w:pPr>
              <w:pStyle w:val="80"/>
            </w:pPr>
            <w:r>
              <w:t>Ошибки при заполнении шаблона оператором</w:t>
            </w:r>
          </w:p>
        </w:tc>
        <w:tc>
          <w:tcPr>
            <w:tcW w:w="1541" w:type="pct"/>
            <w:tcBorders>
              <w:top w:val="single" w:color="auto" w:sz="4" w:space="0"/>
              <w:bottom w:val="single" w:color="auto" w:sz="4" w:space="0"/>
            </w:tcBorders>
          </w:tcPr>
          <w:p w14:paraId="30EE0DC1">
            <w:pPr>
              <w:pStyle w:val="80"/>
            </w:pPr>
            <w:r>
              <w:t>Удалить одну из дублирующихся строк</w:t>
            </w:r>
          </w:p>
        </w:tc>
      </w:tr>
      <w:tr w14:paraId="123B2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57" w:type="dxa"/>
            <w:bottom w:w="57" w:type="dxa"/>
            <w:right w:w="57" w:type="dxa"/>
          </w:tblCellMar>
        </w:tblPrEx>
        <w:trPr>
          <w:trHeight w:val="397" w:hRule="atLeast"/>
        </w:trPr>
        <w:tc>
          <w:tcPr>
            <w:tcW w:w="660" w:type="pct"/>
            <w:tcBorders>
              <w:top w:val="single" w:color="auto" w:sz="4" w:space="0"/>
            </w:tcBorders>
          </w:tcPr>
          <w:p w14:paraId="655862BA">
            <w:pPr>
              <w:pStyle w:val="80"/>
            </w:pPr>
            <w:r>
              <w:t>СПП7</w:t>
            </w:r>
          </w:p>
        </w:tc>
        <w:tc>
          <w:tcPr>
            <w:tcW w:w="1105" w:type="pct"/>
            <w:tcBorders>
              <w:top w:val="single" w:color="auto" w:sz="4" w:space="0"/>
            </w:tcBorders>
          </w:tcPr>
          <w:p w14:paraId="0AD06519">
            <w:pPr>
              <w:pStyle w:val="80"/>
            </w:pPr>
            <w:r>
              <w:t>Нет прав на загрузку данных</w:t>
            </w:r>
          </w:p>
        </w:tc>
        <w:tc>
          <w:tcPr>
            <w:tcW w:w="1694" w:type="pct"/>
            <w:tcBorders>
              <w:top w:val="single" w:color="auto" w:sz="4" w:space="0"/>
            </w:tcBorders>
          </w:tcPr>
          <w:p w14:paraId="77C3164B">
            <w:pPr>
              <w:pStyle w:val="80"/>
            </w:pPr>
            <w:r>
              <w:t>Был загружен шаблон со значениями ОКТМО, не соответствующими указанному ОКТМО в форме импорта</w:t>
            </w:r>
          </w:p>
        </w:tc>
        <w:tc>
          <w:tcPr>
            <w:tcW w:w="1541" w:type="pct"/>
            <w:tcBorders>
              <w:top w:val="single" w:color="auto" w:sz="4" w:space="0"/>
            </w:tcBorders>
          </w:tcPr>
          <w:p w14:paraId="4443B338">
            <w:pPr>
              <w:pStyle w:val="104"/>
            </w:pPr>
            <w:r>
              <w:t>Выбрать правильный шаблон для загрузки.</w:t>
            </w:r>
          </w:p>
          <w:p w14:paraId="06AD8FE4">
            <w:pPr>
              <w:pStyle w:val="104"/>
            </w:pPr>
            <w:r>
              <w:t>Удалить из шаблона строки с ошибочным ОКТМО</w:t>
            </w:r>
          </w:p>
        </w:tc>
      </w:tr>
    </w:tbl>
    <w:p w14:paraId="06740E7B">
      <w:pPr>
        <w:pStyle w:val="69"/>
      </w:pPr>
    </w:p>
    <w:p w14:paraId="20AB21F3">
      <w:pPr>
        <w:pStyle w:val="69"/>
      </w:pPr>
      <w:r>
        <w:t xml:space="preserve">После устранения ошибок, допущенных при заполнении и загрузке шаблона, необходимо повторить загрузку (см. </w:t>
      </w:r>
      <w:r>
        <w:fldChar w:fldCharType="begin"/>
      </w:r>
      <w:r>
        <w:instrText xml:space="preserve"> REF _Ref201939795 \n \h </w:instrText>
      </w:r>
      <w:r>
        <w:fldChar w:fldCharType="separate"/>
      </w:r>
      <w:r>
        <w:t>4.7.2.3</w:t>
      </w:r>
      <w:r>
        <w:fldChar w:fldCharType="end"/>
      </w:r>
      <w:r>
        <w:t>).</w:t>
      </w:r>
    </w:p>
    <w:p w14:paraId="5E70F135">
      <w:pPr>
        <w:pStyle w:val="61"/>
      </w:pPr>
      <w:bookmarkStart w:id="2472" w:name="_Ref201942199"/>
      <w:r>
        <w:t>Просмотр загруженных плановых объемов</w:t>
      </w:r>
      <w:bookmarkEnd w:id="2472"/>
      <w:r>
        <w:t xml:space="preserve"> </w:t>
      </w:r>
    </w:p>
    <w:p w14:paraId="41F1E943">
      <w:pPr>
        <w:pStyle w:val="69"/>
      </w:pPr>
      <w:r>
        <w:t>Для просмотра загруженных плановых объемов нажать в строке записи загруженного файла с плановыми показателями (статус «Загрузка завершена») на ссылку в столбце «Просмотр». Произойдет переход в раздел «Мониторинг» подраздел «План».</w:t>
      </w:r>
    </w:p>
    <w:p w14:paraId="1AFBB887">
      <w:pPr>
        <w:pStyle w:val="69"/>
      </w:pPr>
      <w:r>
        <w:t>Значения плановых годовых показателей отображаются в рабочей области в статусе «Черновик».</w:t>
      </w:r>
    </w:p>
    <w:p w14:paraId="3BD3C063">
      <w:pPr>
        <w:pStyle w:val="69"/>
      </w:pPr>
      <w:r>
        <w:t xml:space="preserve">При наведении курсора на пиктограмму </w:t>
      </w:r>
      <w:r>
        <w:drawing>
          <wp:inline distT="0" distB="0" distL="0" distR="0">
            <wp:extent cx="161925" cy="171450"/>
            <wp:effectExtent l="19050" t="19050" r="28575" b="19050"/>
            <wp:docPr id="248603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0397" name="Рисунок 1"/>
                    <pic:cNvPicPr>
                      <a:picLocks noChangeAspect="1"/>
                    </pic:cNvPicPr>
                  </pic:nvPicPr>
                  <pic:blipFill>
                    <a:blip r:embed="rId123"/>
                    <a:stretch>
                      <a:fillRect/>
                    </a:stretch>
                  </pic:blipFill>
                  <pic:spPr>
                    <a:xfrm>
                      <a:off x="0" y="0"/>
                      <a:ext cx="161948" cy="171474"/>
                    </a:xfrm>
                    <a:prstGeom prst="rect">
                      <a:avLst/>
                    </a:prstGeom>
                    <a:ln w="3175" cmpd="sng">
                      <a:solidFill>
                        <a:srgbClr val="000000"/>
                      </a:solidFill>
                    </a:ln>
                  </pic:spPr>
                </pic:pic>
              </a:graphicData>
            </a:graphic>
          </wp:inline>
        </w:drawing>
      </w:r>
      <w:r>
        <w:t xml:space="preserve"> «Информация» в информационной строке отображается всплывающая подсказка со сведениями о загруженном файле.</w:t>
      </w:r>
    </w:p>
    <w:p w14:paraId="5D7BF03E">
      <w:pPr>
        <w:pStyle w:val="61"/>
      </w:pPr>
      <w:bookmarkStart w:id="2473" w:name="_Ref201942210"/>
      <w:r>
        <w:t>Публикация плановых объемов</w:t>
      </w:r>
      <w:bookmarkEnd w:id="2473"/>
    </w:p>
    <w:p w14:paraId="45E2C77E">
      <w:pPr>
        <w:pStyle w:val="69"/>
      </w:pPr>
      <w:r>
        <w:t xml:space="preserve">Для публикации плановых показателей выбрать строки с записями МО и нажать кнопку «Опубликовать». Статус опубликованных записей автоматически изменится на значение «Опубликовано фондом» (рис. </w:t>
      </w:r>
      <w:r>
        <w:fldChar w:fldCharType="begin"/>
      </w:r>
      <w:r>
        <w:instrText xml:space="preserve"> REF  _Ref201942409 \h\#\0   \* MERGEFORMAT </w:instrText>
      </w:r>
      <w:r>
        <w:fldChar w:fldCharType="separate"/>
      </w:r>
      <w:r>
        <w:t>108</w:t>
      </w:r>
      <w:r>
        <w:fldChar w:fldCharType="end"/>
      </w:r>
      <w:r>
        <w:t>).</w:t>
      </w:r>
    </w:p>
    <w:p w14:paraId="11963B67">
      <w:pPr>
        <w:pStyle w:val="73"/>
      </w:pPr>
      <w:r>
        <w:drawing>
          <wp:inline distT="0" distB="0" distL="0" distR="0">
            <wp:extent cx="6119495" cy="2882265"/>
            <wp:effectExtent l="19050" t="19050" r="14605" b="13335"/>
            <wp:docPr id="18229279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927983" name="Рисунок 1"/>
                    <pic:cNvPicPr>
                      <a:picLocks noChangeAspect="1"/>
                    </pic:cNvPicPr>
                  </pic:nvPicPr>
                  <pic:blipFill>
                    <a:blip r:embed="rId135"/>
                    <a:stretch>
                      <a:fillRect/>
                    </a:stretch>
                  </pic:blipFill>
                  <pic:spPr>
                    <a:xfrm>
                      <a:off x="0" y="0"/>
                      <a:ext cx="6119495" cy="2882265"/>
                    </a:xfrm>
                    <a:prstGeom prst="rect">
                      <a:avLst/>
                    </a:prstGeom>
                    <a:ln w="3175" cmpd="sng">
                      <a:solidFill>
                        <a:srgbClr val="000000"/>
                      </a:solidFill>
                    </a:ln>
                  </pic:spPr>
                </pic:pic>
              </a:graphicData>
            </a:graphic>
          </wp:inline>
        </w:drawing>
      </w:r>
    </w:p>
    <w:p w14:paraId="7140FCE0">
      <w:pPr>
        <w:pStyle w:val="74"/>
      </w:pPr>
      <w:bookmarkStart w:id="2474" w:name="_Ref201942409"/>
      <w:r>
        <w:t xml:space="preserve">Рисунок </w:t>
      </w:r>
      <w:r>
        <w:fldChar w:fldCharType="begin"/>
      </w:r>
      <w:r>
        <w:instrText xml:space="preserve"> SEQ Рисунок \* ARABIC </w:instrText>
      </w:r>
      <w:r>
        <w:fldChar w:fldCharType="separate"/>
      </w:r>
      <w:r>
        <w:t>108</w:t>
      </w:r>
      <w:r>
        <w:fldChar w:fldCharType="end"/>
      </w:r>
      <w:bookmarkEnd w:id="2474"/>
      <w:r>
        <w:t xml:space="preserve"> — Мониторинг. Подраздел «План»</w:t>
      </w:r>
    </w:p>
    <w:p w14:paraId="653216D5">
      <w:pPr>
        <w:pStyle w:val="69"/>
      </w:pPr>
      <w:r>
        <w:t>После публикации ТФОМС плановых годовых показателей медицинской помощи, утвержденные плановые объемы базовой программы ОМС МО доступны медицинской организации для просмотра и поквартального распределения.</w:t>
      </w:r>
    </w:p>
    <w:bookmarkEnd w:id="2465"/>
    <w:p w14:paraId="58B7623C">
      <w:pPr>
        <w:pStyle w:val="61"/>
      </w:pPr>
      <w:bookmarkStart w:id="2475" w:name="_Toc167122630"/>
      <w:bookmarkStart w:id="2476" w:name="_Ref166667333"/>
      <w:r>
        <w:t>Редактирование годовых плановых показателей медицинской помощи</w:t>
      </w:r>
      <w:bookmarkEnd w:id="2475"/>
      <w:bookmarkEnd w:id="2476"/>
    </w:p>
    <w:p w14:paraId="0E407828">
      <w:pPr>
        <w:pStyle w:val="69"/>
      </w:pPr>
      <w:bookmarkStart w:id="2477" w:name="_Hlk205803382"/>
      <w:r>
        <w:t xml:space="preserve">Сотруднику ТФОМС с ролью Плательщик ТФОМС </w:t>
      </w:r>
      <w:bookmarkEnd w:id="2477"/>
      <w:r>
        <w:t>доступна возможность отозвать опубликованную ранее версию плановых годовых показателей медицинской помощи.</w:t>
      </w:r>
    </w:p>
    <w:p w14:paraId="62D549C6">
      <w:pPr>
        <w:pStyle w:val="69"/>
      </w:pPr>
      <w:r>
        <w:t>Для этого необходимо выделить строку записи и нажать кнопку «Отозвать», что приведет к блокировке работы МО по распределению показателей. Статус записи изменится на значение «Отозвано ТФОМС».</w:t>
      </w:r>
    </w:p>
    <w:p w14:paraId="0BDE1958">
      <w:pPr>
        <w:pStyle w:val="69"/>
      </w:pPr>
      <w:r>
        <w:t xml:space="preserve">При загрузке измененных плановых показателей записи присваивается новая версия и отображается дата загрузки сведений. Операции по загрузке и публикации обновленных годовых плановых показателей см. </w:t>
      </w:r>
      <w:r>
        <w:fldChar w:fldCharType="begin"/>
      </w:r>
      <w:r>
        <w:instrText xml:space="preserve"> REF _Ref166666538 \n \h </w:instrText>
      </w:r>
      <w:r>
        <w:fldChar w:fldCharType="separate"/>
      </w:r>
      <w:r>
        <w:t>4.7.2</w:t>
      </w:r>
      <w:r>
        <w:fldChar w:fldCharType="end"/>
      </w:r>
      <w:r>
        <w:t>.</w:t>
      </w:r>
    </w:p>
    <w:p w14:paraId="2FBCB6A5">
      <w:pPr>
        <w:pStyle w:val="69"/>
      </w:pPr>
      <w:r>
        <w:t xml:space="preserve">При этом данные об изменении версии (учетная запись пользователя, дата и время изменения) отображаются во всплывающем окне при наведении курсора на пиктограмму </w:t>
      </w:r>
      <w:r>
        <w:drawing>
          <wp:inline distT="0" distB="0" distL="0" distR="0">
            <wp:extent cx="161925" cy="171450"/>
            <wp:effectExtent l="19050" t="19050" r="28575" b="19050"/>
            <wp:docPr id="3133572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357298" name="Рисунок 1"/>
                    <pic:cNvPicPr>
                      <a:picLocks noChangeAspect="1"/>
                    </pic:cNvPicPr>
                  </pic:nvPicPr>
                  <pic:blipFill>
                    <a:blip r:embed="rId123"/>
                    <a:stretch>
                      <a:fillRect/>
                    </a:stretch>
                  </pic:blipFill>
                  <pic:spPr>
                    <a:xfrm>
                      <a:off x="0" y="0"/>
                      <a:ext cx="161948" cy="171474"/>
                    </a:xfrm>
                    <a:prstGeom prst="rect">
                      <a:avLst/>
                    </a:prstGeom>
                    <a:ln w="3175" cmpd="sng">
                      <a:solidFill>
                        <a:srgbClr val="000000"/>
                      </a:solidFill>
                    </a:ln>
                  </pic:spPr>
                </pic:pic>
              </a:graphicData>
            </a:graphic>
          </wp:inline>
        </w:drawing>
      </w:r>
      <w:r>
        <w:t xml:space="preserve"> «Информация» в информационной строке:</w:t>
      </w:r>
    </w:p>
    <w:p w14:paraId="75B7960E">
      <w:pPr>
        <w:pStyle w:val="76"/>
      </w:pPr>
      <w:r>
        <w:t>«Версия файла»;</w:t>
      </w:r>
    </w:p>
    <w:p w14:paraId="1F04872E">
      <w:pPr>
        <w:pStyle w:val="76"/>
      </w:pPr>
      <w:r>
        <w:t>«Создано»;</w:t>
      </w:r>
    </w:p>
    <w:p w14:paraId="0BC2BF5D">
      <w:pPr>
        <w:pStyle w:val="76"/>
      </w:pPr>
      <w:r>
        <w:t>«Создатель»;</w:t>
      </w:r>
    </w:p>
    <w:p w14:paraId="4934097C">
      <w:pPr>
        <w:pStyle w:val="76"/>
      </w:pPr>
      <w:r>
        <w:t>«Изменено»;</w:t>
      </w:r>
    </w:p>
    <w:p w14:paraId="6C5CA473">
      <w:pPr>
        <w:pStyle w:val="76"/>
      </w:pPr>
      <w:r>
        <w:t>«Редактор»;</w:t>
      </w:r>
    </w:p>
    <w:p w14:paraId="0C10A990">
      <w:pPr>
        <w:pStyle w:val="76"/>
      </w:pPr>
      <w:r>
        <w:t>«Поступление».</w:t>
      </w:r>
    </w:p>
    <w:p w14:paraId="7DBD1DAF">
      <w:pPr>
        <w:pStyle w:val="61"/>
      </w:pPr>
      <w:bookmarkStart w:id="2478" w:name="_Ref166667393"/>
      <w:bookmarkStart w:id="2479" w:name="_Hlk205803494"/>
      <w:r>
        <w:t>Управление редактированием квартальных планов</w:t>
      </w:r>
      <w:bookmarkEnd w:id="2478"/>
    </w:p>
    <w:bookmarkEnd w:id="2479"/>
    <w:p w14:paraId="5B28BF07">
      <w:pPr>
        <w:pStyle w:val="69"/>
      </w:pPr>
      <w:r>
        <w:t>Редактирование квартальных планов возможно только МО. В этом случае МО отзывает ранее опубликованный квартальный план, в поле статус отображается значение «Отозвано МО». Внесение МО изменений в опубликованный ранее квартальный план возможно только с санкции ТФОМС.</w:t>
      </w:r>
    </w:p>
    <w:p w14:paraId="45356482">
      <w:pPr>
        <w:pStyle w:val="69"/>
        <w:keepNext/>
      </w:pPr>
      <w:r>
        <w:t>Для этого необходимо выделить строку записи МО и выбрать в поле «Кв. план» одно из значений:</w:t>
      </w:r>
    </w:p>
    <w:p w14:paraId="2C5D9775">
      <w:pPr>
        <w:pStyle w:val="76"/>
      </w:pPr>
      <w:r>
        <w:t>«Разрешен» — позволяет МО перераспределить плановые показателей по кварталам. При этом квартальному плану присваивается новая версия;</w:t>
      </w:r>
    </w:p>
    <w:p w14:paraId="1D88413E">
      <w:pPr>
        <w:pStyle w:val="76"/>
      </w:pPr>
      <w:r>
        <w:t>«Не разрешен» — внесение МО изменений в ранее опубликованный квартальный план и перераспределение плановых показателей по кварталам недоступно.</w:t>
      </w:r>
    </w:p>
    <w:p w14:paraId="0F3BA3EB">
      <w:pPr>
        <w:pStyle w:val="69"/>
        <w:rPr>
          <w:highlight w:val="magenta"/>
        </w:rPr>
      </w:pPr>
      <w:r>
        <w:t xml:space="preserve">Соответствующее выбору значение: «Разрешено» или «Не разрешено» автоматически отображается в строке записи МО в столбце «Кв. план» (рис. </w:t>
      </w:r>
      <w:r>
        <w:fldChar w:fldCharType="begin"/>
      </w:r>
      <w:r>
        <w:instrText xml:space="preserve"> REF  _Ref171360031 \h\#\0   \* MERGEFORMAT </w:instrText>
      </w:r>
      <w:r>
        <w:fldChar w:fldCharType="separate"/>
      </w:r>
      <w:r>
        <w:t>109</w:t>
      </w:r>
      <w:r>
        <w:fldChar w:fldCharType="end"/>
      </w:r>
      <w:r>
        <w:t>).</w:t>
      </w:r>
    </w:p>
    <w:p w14:paraId="7E0C3147">
      <w:pPr>
        <w:pStyle w:val="73"/>
      </w:pPr>
      <w:r>
        <w:drawing>
          <wp:inline distT="0" distB="0" distL="0" distR="0">
            <wp:extent cx="4623435" cy="2926080"/>
            <wp:effectExtent l="19050" t="19050" r="24765" b="26670"/>
            <wp:docPr id="20895608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560866" name="Рисунок 1"/>
                    <pic:cNvPicPr>
                      <a:picLocks noChangeAspect="1"/>
                    </pic:cNvPicPr>
                  </pic:nvPicPr>
                  <pic:blipFill>
                    <a:blip r:embed="rId136"/>
                    <a:stretch>
                      <a:fillRect/>
                    </a:stretch>
                  </pic:blipFill>
                  <pic:spPr>
                    <a:xfrm>
                      <a:off x="0" y="0"/>
                      <a:ext cx="4625822" cy="2927559"/>
                    </a:xfrm>
                    <a:prstGeom prst="rect">
                      <a:avLst/>
                    </a:prstGeom>
                    <a:ln w="3175" cmpd="sng">
                      <a:solidFill>
                        <a:srgbClr val="000000"/>
                      </a:solidFill>
                    </a:ln>
                  </pic:spPr>
                </pic:pic>
              </a:graphicData>
            </a:graphic>
          </wp:inline>
        </w:drawing>
      </w:r>
    </w:p>
    <w:p w14:paraId="34CB78DD">
      <w:pPr>
        <w:pStyle w:val="74"/>
      </w:pPr>
      <w:bookmarkStart w:id="2480" w:name="_Ref171360031"/>
      <w:r>
        <w:t xml:space="preserve">Рисунок </w:t>
      </w:r>
      <w:r>
        <w:fldChar w:fldCharType="begin"/>
      </w:r>
      <w:r>
        <w:instrText xml:space="preserve"> SEQ Рисунок \* ARABIC </w:instrText>
      </w:r>
      <w:r>
        <w:fldChar w:fldCharType="separate"/>
      </w:r>
      <w:r>
        <w:t>109</w:t>
      </w:r>
      <w:r>
        <w:fldChar w:fldCharType="end"/>
      </w:r>
      <w:bookmarkEnd w:id="2480"/>
      <w:r>
        <w:t xml:space="preserve"> — Мониторинг. Подраздел «План»</w:t>
      </w:r>
    </w:p>
    <w:p w14:paraId="627F0D6C">
      <w:pPr>
        <w:pStyle w:val="60"/>
      </w:pPr>
      <w:bookmarkStart w:id="2481" w:name="_Toc202349723"/>
      <w:bookmarkEnd w:id="2481"/>
      <w:bookmarkStart w:id="2482" w:name="_Toc201941780"/>
      <w:bookmarkEnd w:id="2482"/>
      <w:bookmarkStart w:id="2483" w:name="_Toc202535644"/>
      <w:bookmarkEnd w:id="2483"/>
      <w:bookmarkStart w:id="2484" w:name="_Toc202536672"/>
      <w:bookmarkEnd w:id="2484"/>
      <w:bookmarkStart w:id="2485" w:name="_Toc202544870"/>
      <w:bookmarkEnd w:id="2485"/>
      <w:bookmarkStart w:id="2486" w:name="_Toc201942989"/>
      <w:bookmarkEnd w:id="2486"/>
      <w:bookmarkStart w:id="2487" w:name="_Toc202535194"/>
      <w:bookmarkEnd w:id="2487"/>
      <w:bookmarkStart w:id="2488" w:name="_Toc202545457"/>
      <w:bookmarkEnd w:id="2488"/>
      <w:bookmarkStart w:id="2489" w:name="_Toc202533899"/>
      <w:bookmarkEnd w:id="2489"/>
      <w:bookmarkStart w:id="2490" w:name="_Toc202460242"/>
      <w:bookmarkEnd w:id="2490"/>
      <w:bookmarkStart w:id="2491" w:name="_Toc202804448"/>
      <w:bookmarkEnd w:id="2491"/>
      <w:bookmarkStart w:id="2492" w:name="_Toc202521096"/>
      <w:bookmarkEnd w:id="2492"/>
      <w:bookmarkStart w:id="2493" w:name="_Toc225866352"/>
      <w:bookmarkStart w:id="2494" w:name="_Ref166667362"/>
      <w:bookmarkStart w:id="2495" w:name="_Toc167122631"/>
      <w:r>
        <w:t>Просмотр квартальных планов МО</w:t>
      </w:r>
      <w:bookmarkEnd w:id="2493"/>
      <w:bookmarkEnd w:id="2494"/>
      <w:bookmarkEnd w:id="2495"/>
    </w:p>
    <w:p w14:paraId="25664CFE">
      <w:pPr>
        <w:pStyle w:val="69"/>
      </w:pPr>
      <w:r>
        <w:t>Просмотр квартальных планов МО доступен для следующих ролей сотрудников ТФОМС:</w:t>
      </w:r>
    </w:p>
    <w:p w14:paraId="3BDF2DCA">
      <w:pPr>
        <w:pStyle w:val="76"/>
      </w:pPr>
      <w:r>
        <w:t>Плательщик ТФОМС;</w:t>
      </w:r>
    </w:p>
    <w:p w14:paraId="7BEC62A4">
      <w:pPr>
        <w:pStyle w:val="76"/>
      </w:pPr>
      <w:r>
        <w:t>Куратор по СМО;</w:t>
      </w:r>
    </w:p>
    <w:p w14:paraId="74091A1D">
      <w:pPr>
        <w:pStyle w:val="76"/>
      </w:pPr>
      <w:r>
        <w:t>Куратор по МО.</w:t>
      </w:r>
    </w:p>
    <w:p w14:paraId="3F32DAE0">
      <w:pPr>
        <w:pStyle w:val="69"/>
      </w:pPr>
      <w:r>
        <w:t>После публикации МО квартального плана распределенные поквартально годовые плановые показатели отображаются в подразделе «План», статус «Опубликовано МО».</w:t>
      </w:r>
    </w:p>
    <w:p w14:paraId="1D0399C5">
      <w:pPr>
        <w:pStyle w:val="69"/>
      </w:pPr>
      <w:r>
        <w:t>Для просмотра квартального плана конкретной МО выбрать строку с базовой программой и перейти по ссылке в форму распределения плановых показателей по выбранной программе, нажав в столбце «Базовая программа (всего, руб)» на значение суммы.</w:t>
      </w:r>
    </w:p>
    <w:p w14:paraId="2E2EDE9A">
      <w:pPr>
        <w:pStyle w:val="84"/>
      </w:pPr>
      <w:r>
        <w:rPr>
          <w:rStyle w:val="72"/>
        </w:rPr>
        <w:t xml:space="preserve">Таблица </w:t>
      </w:r>
      <w:r>
        <w:rPr>
          <w:rStyle w:val="98"/>
        </w:rPr>
        <w:fldChar w:fldCharType="begin"/>
      </w:r>
      <w:r>
        <w:rPr>
          <w:rStyle w:val="98"/>
        </w:rPr>
        <w:instrText xml:space="preserve"> SEQ Таблица \* ARABIC </w:instrText>
      </w:r>
      <w:r>
        <w:rPr>
          <w:rStyle w:val="98"/>
        </w:rPr>
        <w:fldChar w:fldCharType="separate"/>
      </w:r>
      <w:r>
        <w:rPr>
          <w:rStyle w:val="98"/>
        </w:rPr>
        <w:t>4</w:t>
      </w:r>
      <w:r>
        <w:rPr>
          <w:rStyle w:val="98"/>
        </w:rPr>
        <w:fldChar w:fldCharType="end"/>
      </w:r>
      <w:r>
        <w:t xml:space="preserve"> — Статусы плановых объемов медицинской помощи</w:t>
      </w:r>
    </w:p>
    <w:tbl>
      <w:tblPr>
        <w:tblStyle w:val="3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2580"/>
        <w:gridCol w:w="3446"/>
        <w:gridCol w:w="3725"/>
      </w:tblGrid>
      <w:tr w14:paraId="312AD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blHeader/>
        </w:trPr>
        <w:tc>
          <w:tcPr>
            <w:tcW w:w="1323" w:type="pct"/>
            <w:tcBorders>
              <w:bottom w:val="double" w:color="auto" w:sz="4" w:space="0"/>
            </w:tcBorders>
            <w:vAlign w:val="center"/>
          </w:tcPr>
          <w:p w14:paraId="571E9116">
            <w:pPr>
              <w:pStyle w:val="100"/>
            </w:pPr>
            <w:r>
              <w:t>Статус</w:t>
            </w:r>
          </w:p>
        </w:tc>
        <w:tc>
          <w:tcPr>
            <w:tcW w:w="1767" w:type="pct"/>
            <w:tcBorders>
              <w:bottom w:val="double" w:color="auto" w:sz="4" w:space="0"/>
            </w:tcBorders>
            <w:vAlign w:val="center"/>
          </w:tcPr>
          <w:p w14:paraId="4AB0DC59">
            <w:pPr>
              <w:pStyle w:val="100"/>
            </w:pPr>
            <w:r>
              <w:t>Описание</w:t>
            </w:r>
          </w:p>
        </w:tc>
        <w:tc>
          <w:tcPr>
            <w:tcW w:w="1910" w:type="pct"/>
            <w:tcBorders>
              <w:bottom w:val="double" w:color="auto" w:sz="4" w:space="0"/>
            </w:tcBorders>
            <w:vAlign w:val="center"/>
          </w:tcPr>
          <w:p w14:paraId="7E02169F">
            <w:pPr>
              <w:pStyle w:val="100"/>
            </w:pPr>
            <w:r>
              <w:t>Примечание</w:t>
            </w:r>
          </w:p>
        </w:tc>
      </w:tr>
      <w:tr w14:paraId="76590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323" w:type="pct"/>
          </w:tcPr>
          <w:p w14:paraId="54C28B83">
            <w:pPr>
              <w:pStyle w:val="87"/>
            </w:pPr>
            <w:r>
              <w:t>Опубликовано фондом</w:t>
            </w:r>
          </w:p>
        </w:tc>
        <w:tc>
          <w:tcPr>
            <w:tcW w:w="1767" w:type="pct"/>
          </w:tcPr>
          <w:p w14:paraId="466EF974">
            <w:pPr>
              <w:pStyle w:val="87"/>
            </w:pPr>
            <w:r>
              <w:t>После публикации ТФОМС записи годовых плановых показателей</w:t>
            </w:r>
          </w:p>
        </w:tc>
        <w:tc>
          <w:tcPr>
            <w:tcW w:w="1910" w:type="pct"/>
          </w:tcPr>
          <w:p w14:paraId="2A64C151">
            <w:pPr>
              <w:pStyle w:val="87"/>
            </w:pPr>
            <w:r>
              <w:t>Доступен для просмотра, а также поквартального распределения показателей МО</w:t>
            </w:r>
          </w:p>
        </w:tc>
      </w:tr>
      <w:tr w14:paraId="68D33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323" w:type="pct"/>
          </w:tcPr>
          <w:p w14:paraId="4FC7FD1D">
            <w:pPr>
              <w:pStyle w:val="87"/>
            </w:pPr>
            <w:r>
              <w:t>Отозвано фондом</w:t>
            </w:r>
          </w:p>
        </w:tc>
        <w:tc>
          <w:tcPr>
            <w:tcW w:w="1767" w:type="pct"/>
          </w:tcPr>
          <w:p w14:paraId="464614C8">
            <w:pPr>
              <w:pStyle w:val="87"/>
              <w:rPr>
                <w:highlight w:val="yellow"/>
              </w:rPr>
            </w:pPr>
            <w:r>
              <w:t>Отображается автоматически после отзыва ТФОМС опубликованной ранее записи годовых плановых показателей.</w:t>
            </w:r>
          </w:p>
          <w:p w14:paraId="09980EEE">
            <w:pPr>
              <w:pStyle w:val="87"/>
            </w:pPr>
            <w:r>
              <w:t>В случае внесения корректив в годовые плановые показатели. Отображается до публикации новой версии</w:t>
            </w:r>
          </w:p>
        </w:tc>
        <w:tc>
          <w:tcPr>
            <w:tcW w:w="1910" w:type="pct"/>
          </w:tcPr>
          <w:p w14:paraId="298184DF">
            <w:pPr>
              <w:pStyle w:val="87"/>
            </w:pPr>
            <w:r>
              <w:t>В случае отзыва версии 1 — статус изменяется на значение «Отозвано ТФОМС» и автоматически создается версия 2 в статусе «Черновик», которая доступна МО для перераспределения квартальных планов, при значении «Разрешено» в столбце «Кв. план»</w:t>
            </w:r>
          </w:p>
        </w:tc>
      </w:tr>
      <w:tr w14:paraId="02BF9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323" w:type="pct"/>
          </w:tcPr>
          <w:p w14:paraId="094A3F9B">
            <w:pPr>
              <w:pStyle w:val="87"/>
            </w:pPr>
            <w:r>
              <w:t>Черновик МО</w:t>
            </w:r>
          </w:p>
        </w:tc>
        <w:tc>
          <w:tcPr>
            <w:tcW w:w="1767" w:type="pct"/>
          </w:tcPr>
          <w:p w14:paraId="0076CD1E">
            <w:pPr>
              <w:pStyle w:val="87"/>
              <w:rPr>
                <w:highlight w:val="yellow"/>
              </w:rPr>
            </w:pPr>
            <w:r>
              <w:t>Отображается автоматически на новой версии поквартального распределения после отзыва предыдущей версии МО</w:t>
            </w:r>
          </w:p>
        </w:tc>
        <w:tc>
          <w:tcPr>
            <w:tcW w:w="1910" w:type="pct"/>
          </w:tcPr>
          <w:p w14:paraId="68A7A707">
            <w:pPr>
              <w:pStyle w:val="87"/>
            </w:pPr>
            <w:r>
              <w:t>Доступно поквартальное распределение показателей МО</w:t>
            </w:r>
          </w:p>
        </w:tc>
      </w:tr>
      <w:tr w14:paraId="5292F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323" w:type="pct"/>
          </w:tcPr>
          <w:p w14:paraId="0BAC090F">
            <w:pPr>
              <w:pStyle w:val="87"/>
            </w:pPr>
            <w:r>
              <w:t>Опубликован МО</w:t>
            </w:r>
          </w:p>
        </w:tc>
        <w:tc>
          <w:tcPr>
            <w:tcW w:w="1767" w:type="pct"/>
          </w:tcPr>
          <w:p w14:paraId="61E434EE">
            <w:pPr>
              <w:pStyle w:val="87"/>
            </w:pPr>
            <w:r>
              <w:t>Отображается автоматически после успешной публикации МО распределенных показателей по кварталам</w:t>
            </w:r>
          </w:p>
        </w:tc>
        <w:tc>
          <w:tcPr>
            <w:tcW w:w="1910" w:type="pct"/>
          </w:tcPr>
          <w:p w14:paraId="0ACF6CF1">
            <w:pPr>
              <w:pStyle w:val="87"/>
            </w:pPr>
            <w:r>
              <w:t>Доступен для просмотра ТФОМС</w:t>
            </w:r>
          </w:p>
        </w:tc>
      </w:tr>
      <w:tr w14:paraId="5E8EE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323" w:type="pct"/>
          </w:tcPr>
          <w:p w14:paraId="6C650E5D">
            <w:pPr>
              <w:pStyle w:val="87"/>
            </w:pPr>
            <w:r>
              <w:t>Отозван МО</w:t>
            </w:r>
          </w:p>
        </w:tc>
        <w:tc>
          <w:tcPr>
            <w:tcW w:w="1767" w:type="pct"/>
          </w:tcPr>
          <w:p w14:paraId="7BE4E7F0">
            <w:pPr>
              <w:pStyle w:val="87"/>
            </w:pPr>
            <w:r>
              <w:t>Отображается автоматически после отзыва МО квартального плана для перераспределения плановых показателей (корректировка квартального плана)</w:t>
            </w:r>
          </w:p>
        </w:tc>
        <w:tc>
          <w:tcPr>
            <w:tcW w:w="1910" w:type="pct"/>
          </w:tcPr>
          <w:p w14:paraId="17A2E098">
            <w:pPr>
              <w:pStyle w:val="87"/>
            </w:pPr>
            <w:r>
              <w:t>Только для опубликованных квартальных планов</w:t>
            </w:r>
          </w:p>
        </w:tc>
      </w:tr>
      <w:tr w14:paraId="5E6B8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323" w:type="pct"/>
          </w:tcPr>
          <w:p w14:paraId="2BE113E3">
            <w:pPr>
              <w:pStyle w:val="87"/>
            </w:pPr>
            <w:r>
              <w:t>Архив</w:t>
            </w:r>
          </w:p>
        </w:tc>
        <w:tc>
          <w:tcPr>
            <w:tcW w:w="1767" w:type="pct"/>
          </w:tcPr>
          <w:p w14:paraId="74C4AC93">
            <w:pPr>
              <w:pStyle w:val="87"/>
            </w:pPr>
            <w:r>
              <w:t>Отображается автоматически после закрытия отчетного года (10 января года, следующего за годом, к которому относится версия плановых показателей)</w:t>
            </w:r>
          </w:p>
        </w:tc>
        <w:tc>
          <w:tcPr>
            <w:tcW w:w="1910" w:type="pct"/>
          </w:tcPr>
          <w:p w14:paraId="381D7DB0">
            <w:pPr>
              <w:pStyle w:val="87"/>
            </w:pPr>
            <w:r>
              <w:t>Недоступно редактирование плановых показателей</w:t>
            </w:r>
          </w:p>
        </w:tc>
      </w:tr>
    </w:tbl>
    <w:p w14:paraId="5F14A336">
      <w:pPr>
        <w:pStyle w:val="69"/>
      </w:pPr>
    </w:p>
    <w:p w14:paraId="09C2862F">
      <w:pPr>
        <w:pStyle w:val="69"/>
      </w:pPr>
      <w:r>
        <w:t xml:space="preserve">Пример квартального плана, опубликованного МО, приведен на рисунке </w:t>
      </w:r>
      <w:r>
        <w:fldChar w:fldCharType="begin"/>
      </w:r>
      <w:r>
        <w:instrText xml:space="preserve"> REF  _Ref171359862 \h\#\0   \* MERGEFORMAT </w:instrText>
      </w:r>
      <w:r>
        <w:fldChar w:fldCharType="separate"/>
      </w:r>
      <w:r>
        <w:t>110</w:t>
      </w:r>
      <w:r>
        <w:fldChar w:fldCharType="end"/>
      </w:r>
      <w:r>
        <w:t>.</w:t>
      </w:r>
    </w:p>
    <w:p w14:paraId="50BB04DE">
      <w:pPr>
        <w:pStyle w:val="73"/>
      </w:pPr>
      <w:r>
        <w:drawing>
          <wp:inline distT="0" distB="0" distL="0" distR="0">
            <wp:extent cx="6119495" cy="2685415"/>
            <wp:effectExtent l="19050" t="19050" r="14605" b="19685"/>
            <wp:docPr id="9200527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052746" name="Рисунок 1"/>
                    <pic:cNvPicPr>
                      <a:picLocks noChangeAspect="1"/>
                    </pic:cNvPicPr>
                  </pic:nvPicPr>
                  <pic:blipFill>
                    <a:blip r:embed="rId137"/>
                    <a:stretch>
                      <a:fillRect/>
                    </a:stretch>
                  </pic:blipFill>
                  <pic:spPr>
                    <a:xfrm>
                      <a:off x="0" y="0"/>
                      <a:ext cx="6119495" cy="2685415"/>
                    </a:xfrm>
                    <a:prstGeom prst="rect">
                      <a:avLst/>
                    </a:prstGeom>
                    <a:ln w="3175" cmpd="sng">
                      <a:solidFill>
                        <a:srgbClr val="000000"/>
                      </a:solidFill>
                    </a:ln>
                  </pic:spPr>
                </pic:pic>
              </a:graphicData>
            </a:graphic>
          </wp:inline>
        </w:drawing>
      </w:r>
    </w:p>
    <w:p w14:paraId="06A27159">
      <w:pPr>
        <w:pStyle w:val="74"/>
      </w:pPr>
      <w:bookmarkStart w:id="2496" w:name="_Ref171359862"/>
      <w:r>
        <w:t xml:space="preserve">Рисунок </w:t>
      </w:r>
      <w:r>
        <w:fldChar w:fldCharType="begin"/>
      </w:r>
      <w:r>
        <w:instrText xml:space="preserve"> SEQ Рисунок \* ARABIC </w:instrText>
      </w:r>
      <w:r>
        <w:fldChar w:fldCharType="separate"/>
      </w:r>
      <w:r>
        <w:t>110</w:t>
      </w:r>
      <w:r>
        <w:fldChar w:fldCharType="end"/>
      </w:r>
      <w:bookmarkEnd w:id="2496"/>
      <w:r>
        <w:t xml:space="preserve"> — Пример квартального плана</w:t>
      </w:r>
    </w:p>
    <w:p w14:paraId="77D8B98D">
      <w:pPr>
        <w:pStyle w:val="69"/>
      </w:pPr>
      <w:r>
        <w:t>Для возврата в территориальную базовую программу перейти по ссылке с кодом территориальной базовой программы в левой верхней части.</w:t>
      </w:r>
    </w:p>
    <w:p w14:paraId="242DD321">
      <w:pPr>
        <w:pStyle w:val="69"/>
      </w:pPr>
      <w:r>
        <w:t>Табличная часть формы распределения показателей содержит следующие столбцы:</w:t>
      </w:r>
    </w:p>
    <w:p w14:paraId="0D095409">
      <w:pPr>
        <w:pStyle w:val="76"/>
      </w:pPr>
      <w:r>
        <w:t>поле простановки метки для выбора элемента списка;</w:t>
      </w:r>
    </w:p>
    <w:p w14:paraId="39E995D7">
      <w:pPr>
        <w:pStyle w:val="76"/>
      </w:pPr>
      <w:r>
        <w:t>«Код» — код показателя согласно КМК. Иерархическая структура включает код условий оказания медицинской помощи, код группы профилей оказания медицинской помощи и код внутренней группировки профиля;</w:t>
      </w:r>
    </w:p>
    <w:p w14:paraId="51263844">
      <w:pPr>
        <w:pStyle w:val="76"/>
      </w:pPr>
      <w:r>
        <w:t>«Наименование» — краткое наименование показателя согласно КМК. Иерархическая структура показателей включает наименование условий оказания медицинской помощи, наименование профиля оказания медицинской помощи с учетом внутренней группировки профиля;</w:t>
      </w:r>
    </w:p>
    <w:p w14:paraId="42495667">
      <w:pPr>
        <w:pStyle w:val="76"/>
      </w:pPr>
      <w:r>
        <w:t>«Кол-во (год)» — объем медицинской помощи годовой (количество единиц, случаев госпитализации или лечения), утвержден и опубликован ФОМС, нередактируемое поле;</w:t>
      </w:r>
    </w:p>
    <w:p w14:paraId="1284951F">
      <w:pPr>
        <w:pStyle w:val="76"/>
      </w:pPr>
      <w:r>
        <w:t>«Кол-во (остаток)» — нераспределенный объем медицинской помощи (остаток при распределении, количество единиц), автоматически вычисляемое значение;</w:t>
      </w:r>
    </w:p>
    <w:p w14:paraId="035988BA">
      <w:pPr>
        <w:pStyle w:val="76"/>
      </w:pPr>
      <w:r>
        <w:t>«Кол-во (</w:t>
      </w:r>
      <w:r>
        <w:rPr>
          <w:lang w:val="en-US"/>
        </w:rPr>
        <w:t>I</w:t>
      </w:r>
      <w:r>
        <w:t xml:space="preserve"> квартал)», «Кол-во (</w:t>
      </w:r>
      <w:r>
        <w:rPr>
          <w:lang w:val="en-US"/>
        </w:rPr>
        <w:t>II</w:t>
      </w:r>
      <w:r>
        <w:t xml:space="preserve"> квартал)», «Кол-во (</w:t>
      </w:r>
      <w:r>
        <w:rPr>
          <w:lang w:val="en-US"/>
        </w:rPr>
        <w:t>III</w:t>
      </w:r>
      <w:r>
        <w:t xml:space="preserve"> квартал)», «Кол-во (</w:t>
      </w:r>
      <w:r>
        <w:rPr>
          <w:lang w:val="en-US"/>
        </w:rPr>
        <w:t>IV</w:t>
      </w:r>
      <w:r>
        <w:t> квартал)» — объем медицинской помощи поквартальный (количество единиц);</w:t>
      </w:r>
    </w:p>
    <w:p w14:paraId="1CDEFF78">
      <w:pPr>
        <w:pStyle w:val="76"/>
      </w:pPr>
      <w:r>
        <w:t>«Сумма (год), руб» — объем финансового обеспечения годовой (в рублях), утвержден и опубликован ТФОМС, нередактируемое поле;</w:t>
      </w:r>
    </w:p>
    <w:p w14:paraId="31FB6567">
      <w:pPr>
        <w:pStyle w:val="76"/>
      </w:pPr>
      <w:r>
        <w:t>«Сумма (остаток)» — нераспределенный объем финансового обеспечения (остаток при распределении, в рублях), автоматически вычисляемое значение;</w:t>
      </w:r>
    </w:p>
    <w:p w14:paraId="146DECD9">
      <w:pPr>
        <w:pStyle w:val="76"/>
      </w:pPr>
      <w:r>
        <w:t>«Сумма (</w:t>
      </w:r>
      <w:r>
        <w:rPr>
          <w:lang w:val="en-US"/>
        </w:rPr>
        <w:t>I</w:t>
      </w:r>
      <w:r>
        <w:t xml:space="preserve"> квартал), руб», «Сумма (</w:t>
      </w:r>
      <w:r>
        <w:rPr>
          <w:lang w:val="en-US"/>
        </w:rPr>
        <w:t>II</w:t>
      </w:r>
      <w:r>
        <w:t xml:space="preserve"> квартал), руб», «Сумма (</w:t>
      </w:r>
      <w:r>
        <w:rPr>
          <w:lang w:val="en-US"/>
        </w:rPr>
        <w:t>III</w:t>
      </w:r>
      <w:r>
        <w:t xml:space="preserve"> квартал), руб», «Сумма (</w:t>
      </w:r>
      <w:r>
        <w:rPr>
          <w:lang w:val="en-US"/>
        </w:rPr>
        <w:t>IV</w:t>
      </w:r>
      <w:r>
        <w:t xml:space="preserve"> квартал), руб» — объем финансового обеспечения поквартальный (в рублях).</w:t>
      </w:r>
    </w:p>
    <w:p w14:paraId="1D43F50C">
      <w:pPr>
        <w:pStyle w:val="60"/>
      </w:pPr>
      <w:bookmarkStart w:id="2497" w:name="_Toc167122633"/>
      <w:bookmarkStart w:id="2498" w:name="_Ref167122348"/>
      <w:bookmarkStart w:id="2499" w:name="_Toc225866353"/>
      <w:r>
        <w:t>Контроль выполнения плановых объемов медицинской помощи</w:t>
      </w:r>
      <w:bookmarkEnd w:id="2497"/>
      <w:bookmarkEnd w:id="2498"/>
      <w:bookmarkEnd w:id="2499"/>
    </w:p>
    <w:p w14:paraId="531C8B40">
      <w:pPr>
        <w:pStyle w:val="69"/>
      </w:pPr>
      <w:r>
        <w:t>На основании опубликованных плановых показателей при приемке выставленных к оплате счетов производится контроль объемов фактически оказанной медицинской помощи. Контроль превышения фактических объемов над плановыми осуществляется по последней актуальной загруженной версии плановых объемов в статусе «Опубликовано ТФОМС» и последней отправленной версии счета МО. В случае превышения, вышедшие за рамки установленных годовых объемов случаи медицинской помощи снимаются с оплаты (дефектуются) в рамках МЭК.</w:t>
      </w:r>
    </w:p>
    <w:p w14:paraId="0916F171">
      <w:pPr>
        <w:pStyle w:val="69"/>
      </w:pPr>
      <w:r>
        <w:t xml:space="preserve">Детализированная информация о дефектах по превышению плановых объемов доступна в разделе «Информационный обмен» (см. </w:t>
      </w:r>
      <w:r>
        <w:fldChar w:fldCharType="begin"/>
      </w:r>
      <w:r>
        <w:instrText xml:space="preserve"> REF _Ref162368613 \n \h </w:instrText>
      </w:r>
      <w:r>
        <w:fldChar w:fldCharType="separate"/>
      </w:r>
      <w:r>
        <w:t>4.2.12</w:t>
      </w:r>
      <w:r>
        <w:fldChar w:fldCharType="end"/>
      </w:r>
      <w:r>
        <w:t>).</w:t>
      </w:r>
    </w:p>
    <w:p w14:paraId="503931B3">
      <w:pPr>
        <w:pStyle w:val="69"/>
      </w:pPr>
      <w:r>
        <w:t>Сводная информация по превышениям плановых объемов доступна в подразделе «Факт».</w:t>
      </w:r>
    </w:p>
    <w:p w14:paraId="3D347BF7">
      <w:pPr>
        <w:pStyle w:val="60"/>
      </w:pPr>
      <w:bookmarkStart w:id="2500" w:name="_Ref166666835"/>
      <w:bookmarkStart w:id="2501" w:name="_Toc167122634"/>
      <w:bookmarkStart w:id="2502" w:name="_Toc225866354"/>
      <w:r>
        <w:t>Просмотр фактических показателей</w:t>
      </w:r>
      <w:bookmarkEnd w:id="2500"/>
      <w:bookmarkEnd w:id="2501"/>
      <w:bookmarkEnd w:id="2502"/>
    </w:p>
    <w:p w14:paraId="7E975CBD">
      <w:pPr>
        <w:pStyle w:val="69"/>
        <w:keepNext/>
      </w:pPr>
      <w:r>
        <w:t>Просмотр фактических показателей доступен для следующих ролей сотрудников ТФОМС:</w:t>
      </w:r>
    </w:p>
    <w:p w14:paraId="4CFEE4BE">
      <w:pPr>
        <w:pStyle w:val="76"/>
      </w:pPr>
      <w:r>
        <w:t>Плательщик ТФОМС;</w:t>
      </w:r>
    </w:p>
    <w:p w14:paraId="699A26DC">
      <w:pPr>
        <w:pStyle w:val="76"/>
      </w:pPr>
      <w:r>
        <w:t>Куратор по СМО;</w:t>
      </w:r>
    </w:p>
    <w:p w14:paraId="4B86D75E">
      <w:pPr>
        <w:pStyle w:val="76"/>
      </w:pPr>
      <w:r>
        <w:t>Куратор по МО.</w:t>
      </w:r>
    </w:p>
    <w:p w14:paraId="218487B4">
      <w:pPr>
        <w:pStyle w:val="69"/>
      </w:pPr>
      <w:r>
        <w:t>Сведения по фактически оказанным объемам медицинской помощи автоматически формируются при формировании счета и отображаются в подразделе «Факт» на основании зарегистрированных сведений о выставленной к оплате медицинской помощи.</w:t>
      </w:r>
    </w:p>
    <w:p w14:paraId="7456B71D">
      <w:pPr>
        <w:pStyle w:val="69"/>
      </w:pPr>
      <w:r>
        <w:t>Мониторинг фактических показателей направлен на их оперативное сравнение с распределенными плановыми показателями и выявление случаев превышения плановых показателей.</w:t>
      </w:r>
    </w:p>
    <w:p w14:paraId="3DBBD29D">
      <w:pPr>
        <w:pStyle w:val="69"/>
      </w:pPr>
      <w:r>
        <w:t xml:space="preserve">Для просмотра данных о фактических показателях необходимо в разделе «Мониторинг» навести курсор на подраздел «План» и в раскрывающемся списке выбрать значение «Факт» (рис. </w:t>
      </w:r>
      <w:r>
        <w:fldChar w:fldCharType="begin"/>
      </w:r>
      <w:r>
        <w:instrText xml:space="preserve"> REF  _Ref166666893 \h\#\0   \* MERGEFORMAT </w:instrText>
      </w:r>
      <w:r>
        <w:fldChar w:fldCharType="separate"/>
      </w:r>
      <w:r>
        <w:t>111</w:t>
      </w:r>
      <w:r>
        <w:fldChar w:fldCharType="end"/>
      </w:r>
      <w:r>
        <w:t>).</w:t>
      </w:r>
    </w:p>
    <w:p w14:paraId="698BAD45">
      <w:pPr>
        <w:pStyle w:val="73"/>
      </w:pPr>
      <w:r>
        <w:drawing>
          <wp:inline distT="0" distB="0" distL="0" distR="0">
            <wp:extent cx="3162300" cy="1623060"/>
            <wp:effectExtent l="19050" t="19050" r="19050" b="15240"/>
            <wp:docPr id="965276970" name="Рисунок 965276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276970" name="Рисунок 965276970"/>
                    <pic:cNvPicPr>
                      <a:picLocks noChangeAspect="1"/>
                    </pic:cNvPicPr>
                  </pic:nvPicPr>
                  <pic:blipFill>
                    <a:blip r:embed="rId138"/>
                    <a:stretch>
                      <a:fillRect/>
                    </a:stretch>
                  </pic:blipFill>
                  <pic:spPr>
                    <a:xfrm>
                      <a:off x="0" y="0"/>
                      <a:ext cx="3162574" cy="1623201"/>
                    </a:xfrm>
                    <a:prstGeom prst="rect">
                      <a:avLst/>
                    </a:prstGeom>
                    <a:ln w="3175" cmpd="sng">
                      <a:solidFill>
                        <a:srgbClr val="000000"/>
                      </a:solidFill>
                    </a:ln>
                  </pic:spPr>
                </pic:pic>
              </a:graphicData>
            </a:graphic>
          </wp:inline>
        </w:drawing>
      </w:r>
    </w:p>
    <w:p w14:paraId="2E8320E9">
      <w:pPr>
        <w:pStyle w:val="74"/>
      </w:pPr>
      <w:bookmarkStart w:id="2503" w:name="_Ref166666893"/>
      <w:r>
        <w:t xml:space="preserve">Рисунок </w:t>
      </w:r>
      <w:r>
        <w:fldChar w:fldCharType="begin"/>
      </w:r>
      <w:r>
        <w:instrText xml:space="preserve"> SEQ Рисунок \* ARABIC </w:instrText>
      </w:r>
      <w:r>
        <w:fldChar w:fldCharType="separate"/>
      </w:r>
      <w:r>
        <w:t>111</w:t>
      </w:r>
      <w:r>
        <w:fldChar w:fldCharType="end"/>
      </w:r>
      <w:bookmarkEnd w:id="2503"/>
      <w:r>
        <w:t xml:space="preserve"> — Раздел «Мониторинг». Выбор вкладки «Факт»</w:t>
      </w:r>
    </w:p>
    <w:p w14:paraId="7792533F">
      <w:pPr>
        <w:pStyle w:val="69"/>
      </w:pPr>
      <w:r>
        <w:t xml:space="preserve">В рабочей области отобразятся сведения о плановых и фактических показателях </w:t>
      </w:r>
      <w:bookmarkStart w:id="2504" w:name="_Hlk166660431"/>
      <w:r>
        <w:t xml:space="preserve">и статус плановых показателей </w:t>
      </w:r>
      <w:bookmarkEnd w:id="2504"/>
      <w:r>
        <w:t xml:space="preserve">(рис. </w:t>
      </w:r>
      <w:r>
        <w:fldChar w:fldCharType="begin"/>
      </w:r>
      <w:r>
        <w:instrText xml:space="preserve"> REF  _Ref166660356 \h\#\0   \* MERGEFORMAT </w:instrText>
      </w:r>
      <w:r>
        <w:fldChar w:fldCharType="separate"/>
      </w:r>
      <w:r>
        <w:t>112</w:t>
      </w:r>
      <w:r>
        <w:fldChar w:fldCharType="end"/>
      </w:r>
      <w:r>
        <w:t>). По умолчанию отображаются данные текущего года. В блоке «Фильтр» панели фильтрации и поиска информации можно задать параметры поиска по нескольким параметрам: отчетный год, ОКТМО, МО.</w:t>
      </w:r>
    </w:p>
    <w:p w14:paraId="43909877">
      <w:pPr>
        <w:pStyle w:val="73"/>
      </w:pPr>
      <w:r>
        <w:drawing>
          <wp:inline distT="0" distB="0" distL="0" distR="0">
            <wp:extent cx="6119495" cy="1776730"/>
            <wp:effectExtent l="19050" t="19050" r="14605" b="13970"/>
            <wp:docPr id="965276971" name="Рисунок 965276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276971" name="Рисунок 965276971"/>
                    <pic:cNvPicPr>
                      <a:picLocks noChangeAspect="1"/>
                    </pic:cNvPicPr>
                  </pic:nvPicPr>
                  <pic:blipFill>
                    <a:blip r:embed="rId139"/>
                    <a:stretch>
                      <a:fillRect/>
                    </a:stretch>
                  </pic:blipFill>
                  <pic:spPr>
                    <a:xfrm>
                      <a:off x="0" y="0"/>
                      <a:ext cx="6119495" cy="1776730"/>
                    </a:xfrm>
                    <a:prstGeom prst="rect">
                      <a:avLst/>
                    </a:prstGeom>
                    <a:ln w="3175" cmpd="sng">
                      <a:solidFill>
                        <a:srgbClr val="000000"/>
                      </a:solidFill>
                    </a:ln>
                  </pic:spPr>
                </pic:pic>
              </a:graphicData>
            </a:graphic>
          </wp:inline>
        </w:drawing>
      </w:r>
    </w:p>
    <w:p w14:paraId="1D35DB62">
      <w:pPr>
        <w:pStyle w:val="74"/>
      </w:pPr>
      <w:bookmarkStart w:id="2505" w:name="_Ref166660356"/>
      <w:r>
        <w:t xml:space="preserve">Рисунок </w:t>
      </w:r>
      <w:r>
        <w:fldChar w:fldCharType="begin"/>
      </w:r>
      <w:r>
        <w:instrText xml:space="preserve"> SEQ Рисунок \* ARABIC </w:instrText>
      </w:r>
      <w:r>
        <w:fldChar w:fldCharType="separate"/>
      </w:r>
      <w:r>
        <w:t>112</w:t>
      </w:r>
      <w:r>
        <w:fldChar w:fldCharType="end"/>
      </w:r>
      <w:bookmarkEnd w:id="2505"/>
      <w:r>
        <w:t xml:space="preserve"> — Раздел «Мониторинг». Подраздел «Факт»</w:t>
      </w:r>
    </w:p>
    <w:p w14:paraId="362E0363">
      <w:pPr>
        <w:pStyle w:val="69"/>
      </w:pPr>
      <w:r>
        <w:t xml:space="preserve">Процент выполнения плана вычисляется автоматически. В случае превышения фактических показателей над плановыми значение фактического показателя подсвечивается цветом (рис. </w:t>
      </w:r>
      <w:r>
        <w:fldChar w:fldCharType="begin"/>
      </w:r>
      <w:r>
        <w:instrText xml:space="preserve"> REF  _Ref166660356 \h\#\0   \* MERGEFORMAT </w:instrText>
      </w:r>
      <w:r>
        <w:fldChar w:fldCharType="separate"/>
      </w:r>
      <w:r>
        <w:t>112</w:t>
      </w:r>
      <w:r>
        <w:fldChar w:fldCharType="end"/>
      </w:r>
      <w:r>
        <w:t xml:space="preserve">) и </w:t>
      </w:r>
      <w:bookmarkStart w:id="2506" w:name="_Hlk166660446"/>
      <w:r>
        <w:t>в столбце «Превышение» отображается признак превышения фактических показателей над плановыми — значение «Да».</w:t>
      </w:r>
    </w:p>
    <w:bookmarkEnd w:id="2506"/>
    <w:p w14:paraId="7FDF5343">
      <w:pPr>
        <w:pStyle w:val="69"/>
      </w:pPr>
      <w:r>
        <w:t>Для детального просмотра фактических и плановых показателей конкретной МО нажать в строке записи МО на ссылку в столбце «Базовая программа (всего, руб.) План» или «Базовая программа (всего, ед.) План».</w:t>
      </w:r>
    </w:p>
    <w:p w14:paraId="358A20E9">
      <w:pPr>
        <w:pStyle w:val="69"/>
      </w:pPr>
      <w:r>
        <w:t xml:space="preserve">В рабочей области отобразятся сведения о плановых и фактических показателях выбранной МО. В случае если в ФПУМП есть версия плановых показателей со статусом «Опубликовано МО», то при превышении фактических показателей над плановыми значение фактического показателя подсвечивается цветом (рис. </w:t>
      </w:r>
      <w:r>
        <w:fldChar w:fldCharType="begin"/>
      </w:r>
      <w:r>
        <w:instrText xml:space="preserve"> REF  _Ref166662499 \h\#\0   \* MERGEFORMAT </w:instrText>
      </w:r>
      <w:r>
        <w:fldChar w:fldCharType="separate"/>
      </w:r>
      <w:r>
        <w:t>113</w:t>
      </w:r>
      <w:r>
        <w:fldChar w:fldCharType="end"/>
      </w:r>
      <w:r>
        <w:t>).</w:t>
      </w:r>
    </w:p>
    <w:p w14:paraId="42A79BFF">
      <w:pPr>
        <w:pStyle w:val="73"/>
      </w:pPr>
      <w:r>
        <w:drawing>
          <wp:inline distT="0" distB="0" distL="0" distR="0">
            <wp:extent cx="6120765" cy="3091180"/>
            <wp:effectExtent l="19050" t="19050" r="13335" b="13970"/>
            <wp:docPr id="1655699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69993" name="Рисунок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6120765" cy="3091180"/>
                    </a:xfrm>
                    <a:prstGeom prst="rect">
                      <a:avLst/>
                    </a:prstGeom>
                    <a:noFill/>
                    <a:ln w="3175" cmpd="sng">
                      <a:solidFill>
                        <a:srgbClr val="000000"/>
                      </a:solidFill>
                    </a:ln>
                  </pic:spPr>
                </pic:pic>
              </a:graphicData>
            </a:graphic>
          </wp:inline>
        </w:drawing>
      </w:r>
    </w:p>
    <w:p w14:paraId="443EA831">
      <w:pPr>
        <w:pStyle w:val="74"/>
      </w:pPr>
      <w:bookmarkStart w:id="2507" w:name="_Ref166662499"/>
      <w:r>
        <w:t xml:space="preserve">Рисунок </w:t>
      </w:r>
      <w:r>
        <w:fldChar w:fldCharType="begin"/>
      </w:r>
      <w:r>
        <w:instrText xml:space="preserve"> SEQ Рисунок \* ARABIC </w:instrText>
      </w:r>
      <w:r>
        <w:fldChar w:fldCharType="separate"/>
      </w:r>
      <w:r>
        <w:t>113</w:t>
      </w:r>
      <w:r>
        <w:fldChar w:fldCharType="end"/>
      </w:r>
      <w:bookmarkEnd w:id="2507"/>
      <w:r>
        <w:t xml:space="preserve"> — Раздел «Мониторинг». Фактические показатели</w:t>
      </w:r>
    </w:p>
    <w:p w14:paraId="73357203">
      <w:pPr>
        <w:pStyle w:val="69"/>
      </w:pPr>
      <w:r>
        <w:t>В случае превышения фактических показателей у медицинской организации есть возможность с санкции ТФОМС (значение «Разрешено» в поле «Кв. план») в регламентные сроки отозвать квартальный план и перераспределить годовые плановые показатели в рамках поквартального распределения.</w:t>
      </w:r>
    </w:p>
    <w:p w14:paraId="6463E4B5">
      <w:pPr>
        <w:pStyle w:val="69"/>
      </w:pPr>
      <w:r>
        <w:t>При внесении изменений квартальному плану присваивается новая версия.</w:t>
      </w:r>
    </w:p>
    <w:p w14:paraId="754BE884">
      <w:pPr>
        <w:pStyle w:val="69"/>
      </w:pPr>
      <w:r>
        <w:t xml:space="preserve">Чтобы выгрузить отчет по фактически оказанным объемам медицинской помощи на вкладке «Факт» необходимо нажать кнопку «Выгрузить отчет» (рис. </w:t>
      </w:r>
      <w:r>
        <w:fldChar w:fldCharType="begin"/>
      </w:r>
      <w:r>
        <w:instrText xml:space="preserve"> REF  _Ref174025803 \h\#\0   \* MERGEFORMAT </w:instrText>
      </w:r>
      <w:r>
        <w:fldChar w:fldCharType="separate"/>
      </w:r>
      <w:r>
        <w:t>114</w:t>
      </w:r>
      <w:r>
        <w:fldChar w:fldCharType="end"/>
      </w:r>
      <w:r>
        <w:t xml:space="preserve">), после чего система предложит сохранить файл в формате </w:t>
      </w:r>
      <w:r>
        <w:rPr>
          <w:lang w:val="en-US"/>
        </w:rPr>
        <w:t>XLSX</w:t>
      </w:r>
      <w:r>
        <w:t>.</w:t>
      </w:r>
    </w:p>
    <w:p w14:paraId="0345EF35">
      <w:pPr>
        <w:pStyle w:val="73"/>
      </w:pPr>
      <w:r>
        <w:drawing>
          <wp:inline distT="0" distB="0" distL="0" distR="0">
            <wp:extent cx="6119495" cy="852170"/>
            <wp:effectExtent l="19050" t="19050" r="14605" b="24130"/>
            <wp:docPr id="965276974" name="Рисунок 965276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276974" name="Рисунок 965276974"/>
                    <pic:cNvPicPr>
                      <a:picLocks noChangeAspect="1"/>
                    </pic:cNvPicPr>
                  </pic:nvPicPr>
                  <pic:blipFill>
                    <a:blip r:embed="rId141"/>
                    <a:stretch>
                      <a:fillRect/>
                    </a:stretch>
                  </pic:blipFill>
                  <pic:spPr>
                    <a:xfrm>
                      <a:off x="0" y="0"/>
                      <a:ext cx="6119495" cy="852170"/>
                    </a:xfrm>
                    <a:prstGeom prst="rect">
                      <a:avLst/>
                    </a:prstGeom>
                    <a:ln w="3175" cmpd="sng">
                      <a:solidFill>
                        <a:srgbClr val="000000"/>
                      </a:solidFill>
                    </a:ln>
                  </pic:spPr>
                </pic:pic>
              </a:graphicData>
            </a:graphic>
          </wp:inline>
        </w:drawing>
      </w:r>
    </w:p>
    <w:p w14:paraId="27F583F1">
      <w:pPr>
        <w:pStyle w:val="74"/>
      </w:pPr>
      <w:bookmarkStart w:id="2508" w:name="_Ref174025803"/>
      <w:r>
        <w:t xml:space="preserve">Рисунок </w:t>
      </w:r>
      <w:r>
        <w:fldChar w:fldCharType="begin"/>
      </w:r>
      <w:r>
        <w:instrText xml:space="preserve"> SEQ Рисунок \* ARABIC </w:instrText>
      </w:r>
      <w:r>
        <w:fldChar w:fldCharType="separate"/>
      </w:r>
      <w:r>
        <w:t>114</w:t>
      </w:r>
      <w:r>
        <w:fldChar w:fldCharType="end"/>
      </w:r>
      <w:bookmarkEnd w:id="2508"/>
      <w:r>
        <w:t xml:space="preserve"> — Раздел «Мониторинг». Фактические показатели</w:t>
      </w:r>
    </w:p>
    <w:p w14:paraId="7C66A4DB">
      <w:pPr>
        <w:pStyle w:val="60"/>
      </w:pPr>
      <w:bookmarkStart w:id="2509" w:name="_Toc54614495"/>
      <w:bookmarkStart w:id="2510" w:name="_Toc59464570"/>
      <w:bookmarkStart w:id="2511" w:name="_Toc75264886"/>
      <w:bookmarkStart w:id="2512" w:name="_Toc98169761"/>
      <w:bookmarkStart w:id="2513" w:name="_Toc131174727"/>
      <w:bookmarkStart w:id="2514" w:name="_Ref147163968"/>
      <w:bookmarkStart w:id="2515" w:name="_Toc149209676"/>
      <w:bookmarkStart w:id="2516" w:name="_Toc176430671"/>
      <w:bookmarkStart w:id="2517" w:name="_Ref176621104"/>
      <w:bookmarkStart w:id="2518" w:name="_Toc225866355"/>
      <w:bookmarkStart w:id="2519" w:name="_Ref484770793"/>
      <w:bookmarkStart w:id="2520" w:name="_Ref485740464"/>
      <w:bookmarkStart w:id="2521" w:name="_Toc131174733"/>
      <w:bookmarkStart w:id="2522" w:name="_Toc117069399"/>
      <w:bookmarkStart w:id="2523" w:name="_Ref142476996"/>
      <w:r>
        <w:t>Формирование и просмотр отчет</w:t>
      </w:r>
      <w:bookmarkEnd w:id="2509"/>
      <w:bookmarkEnd w:id="2510"/>
      <w:r>
        <w:t>ов</w:t>
      </w:r>
      <w:bookmarkEnd w:id="2511"/>
      <w:bookmarkEnd w:id="2512"/>
      <w:bookmarkEnd w:id="2513"/>
      <w:bookmarkEnd w:id="2514"/>
      <w:bookmarkEnd w:id="2515"/>
      <w:r>
        <w:t xml:space="preserve"> по исполнению объемов МП</w:t>
      </w:r>
      <w:bookmarkEnd w:id="2516"/>
      <w:bookmarkEnd w:id="2517"/>
      <w:bookmarkEnd w:id="2518"/>
    </w:p>
    <w:p w14:paraId="1AFCE0A6">
      <w:pPr>
        <w:pStyle w:val="69"/>
      </w:pPr>
      <w:r>
        <w:t>Сформировать или просмотреть отчет по исполнению объемов МП можно в разделе «Список отчетов».</w:t>
      </w:r>
    </w:p>
    <w:p w14:paraId="5975150E">
      <w:pPr>
        <w:pStyle w:val="69"/>
      </w:pPr>
      <w:r>
        <w:t>Подробные сведения о формировании и просмотре отчетов приведены в п.</w:t>
      </w:r>
      <w:r>
        <w:fldChar w:fldCharType="begin"/>
      </w:r>
      <w:r>
        <w:instrText xml:space="preserve"> REF _Ref214645965 \n \h </w:instrText>
      </w:r>
      <w:r>
        <w:fldChar w:fldCharType="separate"/>
      </w:r>
      <w:r>
        <w:t>4.12</w:t>
      </w:r>
      <w:r>
        <w:fldChar w:fldCharType="end"/>
      </w:r>
      <w:r>
        <w:t>.</w:t>
      </w:r>
    </w:p>
    <w:bookmarkEnd w:id="2519"/>
    <w:bookmarkEnd w:id="2520"/>
    <w:bookmarkEnd w:id="2521"/>
    <w:bookmarkEnd w:id="2522"/>
    <w:bookmarkEnd w:id="2523"/>
    <w:p w14:paraId="0E8B8094">
      <w:pPr>
        <w:pStyle w:val="58"/>
      </w:pPr>
      <w:bookmarkStart w:id="2524" w:name="_Toc170391576"/>
      <w:bookmarkEnd w:id="2524"/>
      <w:bookmarkStart w:id="2525" w:name="_Toc170391588"/>
      <w:bookmarkEnd w:id="2525"/>
      <w:bookmarkStart w:id="2526" w:name="_Toc170391593"/>
      <w:bookmarkEnd w:id="2526"/>
      <w:bookmarkStart w:id="2527" w:name="_Toc170391577"/>
      <w:bookmarkEnd w:id="2527"/>
      <w:bookmarkStart w:id="2528" w:name="_Toc170391596"/>
      <w:bookmarkEnd w:id="2528"/>
      <w:bookmarkStart w:id="2529" w:name="_Toc170391597"/>
      <w:bookmarkEnd w:id="2529"/>
      <w:bookmarkStart w:id="2530" w:name="_Toc170391602"/>
      <w:bookmarkEnd w:id="2530"/>
      <w:bookmarkStart w:id="2531" w:name="_Toc170391603"/>
      <w:bookmarkEnd w:id="2531"/>
      <w:bookmarkStart w:id="2532" w:name="_Toc170391605"/>
      <w:bookmarkEnd w:id="2532"/>
      <w:bookmarkStart w:id="2533" w:name="_Toc170391606"/>
      <w:bookmarkEnd w:id="2533"/>
      <w:bookmarkStart w:id="2534" w:name="_Toc170391639"/>
      <w:bookmarkEnd w:id="2534"/>
      <w:bookmarkStart w:id="2535" w:name="_Toc170391590"/>
      <w:bookmarkEnd w:id="2535"/>
      <w:bookmarkStart w:id="2536" w:name="_Toc170391598"/>
      <w:bookmarkEnd w:id="2536"/>
      <w:bookmarkStart w:id="2537" w:name="_Toc170391604"/>
      <w:bookmarkEnd w:id="2537"/>
      <w:bookmarkStart w:id="2538" w:name="_Toc170391640"/>
      <w:bookmarkEnd w:id="2538"/>
      <w:bookmarkStart w:id="2539" w:name="_Toc170391635"/>
      <w:bookmarkEnd w:id="2539"/>
      <w:bookmarkStart w:id="2540" w:name="_Toc170391600"/>
      <w:bookmarkEnd w:id="2540"/>
      <w:bookmarkStart w:id="2541" w:name="_Toc170391637"/>
      <w:bookmarkEnd w:id="2541"/>
      <w:bookmarkStart w:id="2542" w:name="_Toc170391641"/>
      <w:bookmarkEnd w:id="2542"/>
      <w:bookmarkStart w:id="2543" w:name="_Toc170391592"/>
      <w:bookmarkEnd w:id="2543"/>
      <w:bookmarkStart w:id="2544" w:name="_Toc170391594"/>
      <w:bookmarkEnd w:id="2544"/>
      <w:bookmarkStart w:id="2545" w:name="_Toc170391578"/>
      <w:bookmarkEnd w:id="2545"/>
      <w:bookmarkStart w:id="2546" w:name="_Toc170391589"/>
      <w:bookmarkEnd w:id="2546"/>
      <w:bookmarkStart w:id="2547" w:name="_Toc170391595"/>
      <w:bookmarkEnd w:id="2547"/>
      <w:bookmarkStart w:id="2548" w:name="_Toc170391591"/>
      <w:bookmarkEnd w:id="2548"/>
      <w:bookmarkStart w:id="2549" w:name="_Toc170391643"/>
      <w:bookmarkEnd w:id="2549"/>
      <w:bookmarkStart w:id="2550" w:name="_Toc170391585"/>
      <w:bookmarkEnd w:id="2550"/>
      <w:bookmarkStart w:id="2551" w:name="_Toc170391638"/>
      <w:bookmarkEnd w:id="2551"/>
      <w:bookmarkStart w:id="2552" w:name="_Toc170391644"/>
      <w:bookmarkEnd w:id="2552"/>
      <w:bookmarkStart w:id="2553" w:name="_Toc170391636"/>
      <w:bookmarkEnd w:id="2553"/>
      <w:bookmarkStart w:id="2554" w:name="_Toc170391642"/>
      <w:bookmarkEnd w:id="2554"/>
      <w:bookmarkStart w:id="2555" w:name="_Toc170391645"/>
      <w:bookmarkEnd w:id="2555"/>
      <w:bookmarkStart w:id="2556" w:name="_Toc170391586"/>
      <w:bookmarkEnd w:id="2556"/>
      <w:bookmarkStart w:id="2557" w:name="_Toc170391583"/>
      <w:bookmarkEnd w:id="2557"/>
      <w:bookmarkStart w:id="2558" w:name="_Toc170391581"/>
      <w:bookmarkEnd w:id="2558"/>
      <w:bookmarkStart w:id="2559" w:name="_Toc170391587"/>
      <w:bookmarkEnd w:id="2559"/>
      <w:bookmarkStart w:id="2560" w:name="_Toc170391599"/>
      <w:bookmarkEnd w:id="2560"/>
      <w:bookmarkStart w:id="2561" w:name="_Toc170391601"/>
      <w:bookmarkEnd w:id="2561"/>
      <w:bookmarkStart w:id="2562" w:name="_Toc170391646"/>
      <w:bookmarkEnd w:id="2562"/>
      <w:bookmarkStart w:id="2563" w:name="_Toc170391579"/>
      <w:bookmarkEnd w:id="2563"/>
      <w:bookmarkStart w:id="2564" w:name="_Toc170391584"/>
      <w:bookmarkEnd w:id="2564"/>
      <w:bookmarkStart w:id="2565" w:name="_Toc170391582"/>
      <w:bookmarkEnd w:id="2565"/>
      <w:bookmarkStart w:id="2566" w:name="_Toc170391580"/>
      <w:bookmarkEnd w:id="2566"/>
      <w:bookmarkStart w:id="2567" w:name="_Toc170391653"/>
      <w:bookmarkEnd w:id="2567"/>
      <w:bookmarkStart w:id="2568" w:name="_Toc170391652"/>
      <w:bookmarkEnd w:id="2568"/>
      <w:bookmarkStart w:id="2569" w:name="_Toc170391648"/>
      <w:bookmarkEnd w:id="2569"/>
      <w:bookmarkStart w:id="2570" w:name="_Toc170391651"/>
      <w:bookmarkEnd w:id="2570"/>
      <w:bookmarkStart w:id="2571" w:name="_Toc170391647"/>
      <w:bookmarkEnd w:id="2571"/>
      <w:bookmarkStart w:id="2572" w:name="_Toc170391649"/>
      <w:bookmarkEnd w:id="2572"/>
      <w:bookmarkStart w:id="2573" w:name="_Toc170391655"/>
      <w:bookmarkEnd w:id="2573"/>
      <w:bookmarkStart w:id="2574" w:name="_Toc170391654"/>
      <w:bookmarkEnd w:id="2574"/>
      <w:bookmarkStart w:id="2575" w:name="_Toc170391650"/>
      <w:bookmarkEnd w:id="2575"/>
      <w:bookmarkStart w:id="2576" w:name="_Ref206015978"/>
      <w:bookmarkStart w:id="2577" w:name="_Toc225866356"/>
      <w:bookmarkStart w:id="2578" w:name="_Ref206016018"/>
      <w:r>
        <w:t>Просмотр результатов экспертизы</w:t>
      </w:r>
      <w:bookmarkEnd w:id="2576"/>
      <w:bookmarkEnd w:id="2577"/>
      <w:bookmarkEnd w:id="2578"/>
    </w:p>
    <w:p w14:paraId="3502D904">
      <w:pPr>
        <w:pStyle w:val="60"/>
      </w:pPr>
      <w:bookmarkStart w:id="2579" w:name="_Toc225866357"/>
      <w:r>
        <w:t>Общие сведения о проведении МЭЭ и ЭКМП</w:t>
      </w:r>
      <w:bookmarkEnd w:id="2579"/>
    </w:p>
    <w:p w14:paraId="536094E4">
      <w:pPr>
        <w:pStyle w:val="69"/>
      </w:pPr>
      <w:r>
        <w:t>Оценка объемов, сроков, качества и условий предоставления медицинской помощи выполняется ответственным сотрудником (экспертом) по заданию уполномоченного лица (сотрудника ТФОМС или СМО).</w:t>
      </w:r>
    </w:p>
    <w:p w14:paraId="28DF17C8">
      <w:pPr>
        <w:pStyle w:val="69"/>
      </w:pPr>
      <w:r>
        <w:t>Различают следующие виды экспертизы:</w:t>
      </w:r>
    </w:p>
    <w:p w14:paraId="477A2444">
      <w:pPr>
        <w:pStyle w:val="76"/>
      </w:pPr>
      <w:r>
        <w:t>МЭЭ — медико–экономическая экспертиза;</w:t>
      </w:r>
    </w:p>
    <w:p w14:paraId="709CD2EC">
      <w:pPr>
        <w:pStyle w:val="76"/>
      </w:pPr>
      <w:r>
        <w:t>ЭКМП — экспертиза качества медицинской помощи (проводится медицинскими работниками — экспертами качества медицинской помощи).</w:t>
      </w:r>
    </w:p>
    <w:p w14:paraId="26189869">
      <w:pPr>
        <w:pStyle w:val="69"/>
      </w:pPr>
      <w:r>
        <w:t>Медико-экономическая экспертиза (МЭЭ) проводится в целях установления соответствия фактических сроков оказания медицинской помощи, объема предъявленных к оплате медицинских услуг записям в первичной медицинской документации и учетно-отчетной документации медицинской организации.</w:t>
      </w:r>
    </w:p>
    <w:p w14:paraId="189BAE37">
      <w:pPr>
        <w:pStyle w:val="69"/>
      </w:pPr>
      <w:r>
        <w:t>Экспертиза качества медицинской помощи (ЭКМП) проводится в целях выявления нарушений при оказании медицинской помощи, в том числе оценки своевременности ее оказания, правильности выбора методов профилактики, диагностики, лечения и реабилитации, степени достижения запланированного результата.</w:t>
      </w:r>
    </w:p>
    <w:p w14:paraId="0D4E2459">
      <w:pPr>
        <w:pStyle w:val="69"/>
      </w:pPr>
      <w:r>
        <w:t>Создание экспертизы (в том числе прикрепление СЭФД, включенных в счет), назначение эксперта и публикацию экспертизы осуществляют сотрудники ответственной организации:</w:t>
      </w:r>
    </w:p>
    <w:p w14:paraId="09D5314B">
      <w:pPr>
        <w:pStyle w:val="76"/>
      </w:pPr>
      <w:r>
        <w:t>ФОМС — проведение МЭЭ и ЭКМП по счетам ФМО;</w:t>
      </w:r>
    </w:p>
    <w:p w14:paraId="52D0BE3F">
      <w:pPr>
        <w:pStyle w:val="76"/>
      </w:pPr>
      <w:r>
        <w:t>СМО — проведение МЭЭ;</w:t>
      </w:r>
    </w:p>
    <w:p w14:paraId="2D1F52FA">
      <w:pPr>
        <w:pStyle w:val="76"/>
      </w:pPr>
      <w:r>
        <w:t>ТФОМС — проведение ЭКМП;</w:t>
      </w:r>
    </w:p>
    <w:p w14:paraId="25BEFD5D">
      <w:pPr>
        <w:pStyle w:val="76"/>
      </w:pPr>
      <w:r>
        <w:t>специалисты-эксперты — проведение МЭЭ;</w:t>
      </w:r>
    </w:p>
    <w:p w14:paraId="1924A5B6">
      <w:pPr>
        <w:pStyle w:val="76"/>
      </w:pPr>
      <w:r>
        <w:t>эксперты качества МП — проведение ЭКМП.</w:t>
      </w:r>
    </w:p>
    <w:p w14:paraId="1C1944B9">
      <w:pPr>
        <w:pStyle w:val="69"/>
      </w:pPr>
      <w:r>
        <w:t>Работа с экспертизами осуществляется в АРМ эксперта. Описание процедуры назначения, проведения и закрытия экспертизы приведено в документе «Руководство пользователя, часть 5. АРМ эксперта».</w:t>
      </w:r>
    </w:p>
    <w:p w14:paraId="7F6B5985">
      <w:pPr>
        <w:pStyle w:val="69"/>
      </w:pPr>
      <w:r>
        <w:t>После публикации экспертизы и назначения эксперта для проведения экспертизы, формируется уведомление о проведении экспертизы</w:t>
      </w:r>
      <w:r>
        <w:rPr>
          <w:rStyle w:val="13"/>
        </w:rPr>
        <w:footnoteReference w:id="2"/>
      </w:r>
      <w:r>
        <w:t>.</w:t>
      </w:r>
    </w:p>
    <w:p w14:paraId="545631D6">
      <w:pPr>
        <w:pStyle w:val="69"/>
      </w:pPr>
      <w:r>
        <w:t>Опубликованное уведомление о проведении экспертизы становится доступно заинтересованным сторонам и МО, что дает возможность начать подготовку к проведению экспертизы.</w:t>
      </w:r>
    </w:p>
    <w:p w14:paraId="2E935480">
      <w:pPr>
        <w:pStyle w:val="69"/>
      </w:pPr>
      <w:r>
        <w:t>В ходе проведения экспертизы эксперт выполняет контрольно-экспертные мероприятия и оформляет соответствующее экспертное заключение по законченным случаям.</w:t>
      </w:r>
    </w:p>
    <w:p w14:paraId="09C2B596">
      <w:pPr>
        <w:pStyle w:val="69"/>
      </w:pPr>
      <w:r>
        <w:t xml:space="preserve">Результаты экспертизы оформляются соответствующим </w:t>
      </w:r>
      <w:bookmarkStart w:id="2580" w:name="_Hlk154566852"/>
      <w:r>
        <w:t>Заключением</w:t>
      </w:r>
      <w:r>
        <w:rPr>
          <w:rStyle w:val="13"/>
        </w:rPr>
        <w:footnoteReference w:id="3"/>
      </w:r>
      <w:r>
        <w:t xml:space="preserve"> </w:t>
      </w:r>
      <w:bookmarkEnd w:id="2580"/>
      <w:r>
        <w:t>на основе экспертных заключений по законченным случаям.</w:t>
      </w:r>
    </w:p>
    <w:p w14:paraId="213671B8">
      <w:pPr>
        <w:pStyle w:val="69"/>
      </w:pPr>
      <w:r>
        <w:t>Сведения по результатам экспертиз МЭЭ и ЭКМП отражаются в рамках приемки счета МО по текущему отчетному периоду на дату проведения экспертизы в составе финального ответа плательщика (</w:t>
      </w:r>
      <w:r>
        <w:rPr>
          <w:lang w:val="en-US"/>
        </w:rPr>
        <w:t>ME</w:t>
      </w:r>
      <w:r>
        <w:t>-файл).</w:t>
      </w:r>
    </w:p>
    <w:p w14:paraId="16AF006F">
      <w:pPr>
        <w:pStyle w:val="69"/>
      </w:pPr>
      <w:r>
        <w:t>Результаты проведения экспертизы отражаются в Заключении по результатам экспертизы</w:t>
      </w:r>
      <w:r>
        <w:rPr>
          <w:rStyle w:val="13"/>
        </w:rPr>
        <w:footnoteReference w:id="4"/>
      </w:r>
      <w:r>
        <w:t xml:space="preserve"> и служат основанием для штрафных санкций и снятий в отношении медицинской организации.</w:t>
      </w:r>
    </w:p>
    <w:p w14:paraId="50FED516">
      <w:pPr>
        <w:pStyle w:val="69"/>
      </w:pPr>
      <w:r>
        <w:t>Операция поиска и просмотра результатов проведенных МЭЭ и ЭКМП доступна пользователям с ролями:</w:t>
      </w:r>
    </w:p>
    <w:p w14:paraId="5B41945B">
      <w:pPr>
        <w:pStyle w:val="76"/>
      </w:pPr>
      <w:r>
        <w:t>Плательщик ТФОМС;</w:t>
      </w:r>
    </w:p>
    <w:p w14:paraId="7DE543AB">
      <w:pPr>
        <w:pStyle w:val="76"/>
      </w:pPr>
      <w:r>
        <w:t>Куратор по СМО;</w:t>
      </w:r>
    </w:p>
    <w:p w14:paraId="5F61E471">
      <w:pPr>
        <w:pStyle w:val="76"/>
      </w:pPr>
      <w:r>
        <w:t>Куратор по МО.</w:t>
      </w:r>
    </w:p>
    <w:p w14:paraId="0EB8338C">
      <w:pPr>
        <w:pStyle w:val="69"/>
      </w:pPr>
      <w:r>
        <w:t xml:space="preserve">Просмотреть результаты экспертиз можно в разделе «Экспертиза» (описание приведено в </w:t>
      </w:r>
      <w:r>
        <w:fldChar w:fldCharType="begin"/>
      </w:r>
      <w:r>
        <w:instrText xml:space="preserve"> REF _Ref205995985 \n \h  \* MERGEFORMAT </w:instrText>
      </w:r>
      <w:r>
        <w:fldChar w:fldCharType="separate"/>
      </w:r>
      <w:r>
        <w:t>4.8.2</w:t>
      </w:r>
      <w:r>
        <w:fldChar w:fldCharType="end"/>
      </w:r>
      <w:r>
        <w:t xml:space="preserve">, </w:t>
      </w:r>
      <w:r>
        <w:fldChar w:fldCharType="begin"/>
      </w:r>
      <w:r>
        <w:instrText xml:space="preserve"> REF _Ref154570401 \n \h  \* MERGEFORMAT </w:instrText>
      </w:r>
      <w:r>
        <w:fldChar w:fldCharType="separate"/>
      </w:r>
      <w:r>
        <w:t>4.8.3</w:t>
      </w:r>
      <w:r>
        <w:fldChar w:fldCharType="end"/>
      </w:r>
      <w:r>
        <w:t xml:space="preserve"> и </w:t>
      </w:r>
      <w:r>
        <w:fldChar w:fldCharType="begin"/>
      </w:r>
      <w:r>
        <w:instrText xml:space="preserve"> REF _Ref154570245 \n \h  \* MERGEFORMAT </w:instrText>
      </w:r>
      <w:r>
        <w:fldChar w:fldCharType="separate"/>
      </w:r>
      <w:r>
        <w:t>4.8.4</w:t>
      </w:r>
      <w:r>
        <w:fldChar w:fldCharType="end"/>
      </w:r>
      <w:r>
        <w:t>), а также в разделе «Информационный обмен» (см. </w:t>
      </w:r>
      <w:r>
        <w:fldChar w:fldCharType="begin"/>
      </w:r>
      <w:r>
        <w:instrText xml:space="preserve"> REF _Ref162368613 \n \h  \* MERGEFORMAT </w:instrText>
      </w:r>
      <w:r>
        <w:fldChar w:fldCharType="separate"/>
      </w:r>
      <w:r>
        <w:t>4.2.12</w:t>
      </w:r>
      <w:r>
        <w:fldChar w:fldCharType="end"/>
      </w:r>
      <w:r>
        <w:t>).</w:t>
      </w:r>
    </w:p>
    <w:p w14:paraId="362A2D9E">
      <w:pPr>
        <w:pStyle w:val="60"/>
        <w:rPr>
          <w:lang w:eastAsia="en-US"/>
        </w:rPr>
      </w:pPr>
      <w:bookmarkStart w:id="2581" w:name="_Ref206142792"/>
      <w:bookmarkStart w:id="2582" w:name="_Toc149209665"/>
      <w:bookmarkStart w:id="2583" w:name="_Ref154570402"/>
      <w:bookmarkStart w:id="2584" w:name="_Toc225866358"/>
      <w:bookmarkStart w:id="2585" w:name="_Toc196317502"/>
      <w:bookmarkStart w:id="2586" w:name="_Ref205995985"/>
      <w:r>
        <w:rPr>
          <w:lang w:eastAsia="en-US"/>
        </w:rPr>
        <w:t>Поиск и просмотр экспертиз</w:t>
      </w:r>
      <w:bookmarkEnd w:id="2581"/>
      <w:bookmarkEnd w:id="2582"/>
      <w:bookmarkEnd w:id="2583"/>
      <w:bookmarkEnd w:id="2584"/>
      <w:bookmarkEnd w:id="2585"/>
      <w:bookmarkEnd w:id="2586"/>
    </w:p>
    <w:p w14:paraId="10CB298D">
      <w:pPr>
        <w:pStyle w:val="69"/>
      </w:pPr>
      <w:r>
        <w:t>Операция поиска и просмотра результатов проведенных МЭЭ и ЭКМП доступна пользователям с ролями:</w:t>
      </w:r>
    </w:p>
    <w:p w14:paraId="5D05ADB5">
      <w:pPr>
        <w:pStyle w:val="76"/>
      </w:pPr>
      <w:r>
        <w:t>Плательщик ТФОМС;</w:t>
      </w:r>
    </w:p>
    <w:p w14:paraId="3DE5EE64">
      <w:pPr>
        <w:pStyle w:val="76"/>
      </w:pPr>
      <w:r>
        <w:t>Куратор по СМО;</w:t>
      </w:r>
    </w:p>
    <w:p w14:paraId="7522F96E">
      <w:pPr>
        <w:pStyle w:val="76"/>
      </w:pPr>
      <w:r>
        <w:t>Куратор по МО.</w:t>
      </w:r>
    </w:p>
    <w:p w14:paraId="0B24E9E8">
      <w:pPr>
        <w:pStyle w:val="69"/>
      </w:pPr>
      <w:r>
        <w:t>Просмотр сведений о назначенных экспертизах и результатов проведенных экспертиз осуществляется в разделе «Экспертиза».</w:t>
      </w:r>
    </w:p>
    <w:p w14:paraId="222E2527">
      <w:pPr>
        <w:pStyle w:val="69"/>
      </w:pPr>
      <w:r>
        <w:t xml:space="preserve">Для перехода в раздел нажать в ленте главного меню кнопку «Все разделы» и в раскрывающемся меню выбрать пункт «Экспертиза» (рис. </w:t>
      </w:r>
      <w:r>
        <w:fldChar w:fldCharType="begin"/>
      </w:r>
      <w:r>
        <w:instrText xml:space="preserve"> REF  _Ref164942995 \h\#\0   \* MERGEFORMAT </w:instrText>
      </w:r>
      <w:r>
        <w:fldChar w:fldCharType="separate"/>
      </w:r>
      <w:r>
        <w:t>115</w:t>
      </w:r>
      <w:r>
        <w:fldChar w:fldCharType="end"/>
      </w:r>
      <w:r>
        <w:t>).</w:t>
      </w:r>
    </w:p>
    <w:p w14:paraId="5F5401AA">
      <w:pPr>
        <w:pStyle w:val="73"/>
      </w:pPr>
      <w:r>
        <w:drawing>
          <wp:inline distT="0" distB="0" distL="0" distR="0">
            <wp:extent cx="5399405" cy="2510155"/>
            <wp:effectExtent l="19050" t="19050" r="10795" b="23495"/>
            <wp:docPr id="15962195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19564" name="Рисунок 1"/>
                    <pic:cNvPicPr>
                      <a:picLocks noChangeAspect="1"/>
                    </pic:cNvPicPr>
                  </pic:nvPicPr>
                  <pic:blipFill>
                    <a:blip r:embed="rId142"/>
                    <a:stretch>
                      <a:fillRect/>
                    </a:stretch>
                  </pic:blipFill>
                  <pic:spPr>
                    <a:xfrm>
                      <a:off x="0" y="0"/>
                      <a:ext cx="5400000" cy="2510325"/>
                    </a:xfrm>
                    <a:prstGeom prst="rect">
                      <a:avLst/>
                    </a:prstGeom>
                    <a:ln w="3175" cmpd="sng">
                      <a:solidFill>
                        <a:srgbClr val="000000"/>
                      </a:solidFill>
                    </a:ln>
                  </pic:spPr>
                </pic:pic>
              </a:graphicData>
            </a:graphic>
          </wp:inline>
        </w:drawing>
      </w:r>
    </w:p>
    <w:p w14:paraId="34D0AEF3">
      <w:pPr>
        <w:pStyle w:val="74"/>
      </w:pPr>
      <w:bookmarkStart w:id="2587" w:name="_Ref164942995"/>
      <w:r>
        <w:t xml:space="preserve">Рисунок </w:t>
      </w:r>
      <w:r>
        <w:fldChar w:fldCharType="begin"/>
      </w:r>
      <w:r>
        <w:instrText xml:space="preserve"> SEQ Рисунок \* ARABIC </w:instrText>
      </w:r>
      <w:r>
        <w:fldChar w:fldCharType="separate"/>
      </w:r>
      <w:r>
        <w:t>115</w:t>
      </w:r>
      <w:r>
        <w:fldChar w:fldCharType="end"/>
      </w:r>
      <w:bookmarkEnd w:id="2587"/>
      <w:r>
        <w:t xml:space="preserve"> — Все разделы. Переход в раздел «Экспертиза»</w:t>
      </w:r>
    </w:p>
    <w:p w14:paraId="44D47219">
      <w:pPr>
        <w:pStyle w:val="69"/>
      </w:pPr>
      <w:r>
        <w:t xml:space="preserve">В рабочей области отобразится список экспертиз (рис. </w:t>
      </w:r>
      <w:r>
        <w:fldChar w:fldCharType="begin"/>
      </w:r>
      <w:r>
        <w:instrText xml:space="preserve"> REF  _Ref154566918 \h\#\0   \* MERGEFORMAT </w:instrText>
      </w:r>
      <w:r>
        <w:fldChar w:fldCharType="separate"/>
      </w:r>
      <w:r>
        <w:t>116</w:t>
      </w:r>
      <w:r>
        <w:fldChar w:fldCharType="end"/>
      </w:r>
      <w:r>
        <w:t>).</w:t>
      </w:r>
    </w:p>
    <w:p w14:paraId="252A1069">
      <w:pPr>
        <w:pStyle w:val="73"/>
      </w:pPr>
      <w:r>
        <w:drawing>
          <wp:inline distT="0" distB="0" distL="0" distR="0">
            <wp:extent cx="6119495" cy="2489200"/>
            <wp:effectExtent l="19050" t="19050" r="14605" b="25400"/>
            <wp:docPr id="16696725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72552" name="Рисунок 1"/>
                    <pic:cNvPicPr>
                      <a:picLocks noChangeAspect="1"/>
                    </pic:cNvPicPr>
                  </pic:nvPicPr>
                  <pic:blipFill>
                    <a:blip r:embed="rId143"/>
                    <a:stretch>
                      <a:fillRect/>
                    </a:stretch>
                  </pic:blipFill>
                  <pic:spPr>
                    <a:xfrm>
                      <a:off x="0" y="0"/>
                      <a:ext cx="6119495" cy="2489200"/>
                    </a:xfrm>
                    <a:prstGeom prst="rect">
                      <a:avLst/>
                    </a:prstGeom>
                    <a:ln w="3175" cmpd="sng">
                      <a:solidFill>
                        <a:srgbClr val="000000"/>
                      </a:solidFill>
                    </a:ln>
                  </pic:spPr>
                </pic:pic>
              </a:graphicData>
            </a:graphic>
          </wp:inline>
        </w:drawing>
      </w:r>
    </w:p>
    <w:p w14:paraId="59C45220">
      <w:pPr>
        <w:pStyle w:val="74"/>
      </w:pPr>
      <w:bookmarkStart w:id="2588" w:name="_Ref154566918"/>
      <w:r>
        <w:t xml:space="preserve">Рисунок </w:t>
      </w:r>
      <w:r>
        <w:fldChar w:fldCharType="begin"/>
      </w:r>
      <w:r>
        <w:instrText xml:space="preserve"> SEQ Рисунок \* ARABIC </w:instrText>
      </w:r>
      <w:r>
        <w:fldChar w:fldCharType="separate"/>
      </w:r>
      <w:r>
        <w:t>116</w:t>
      </w:r>
      <w:r>
        <w:fldChar w:fldCharType="end"/>
      </w:r>
      <w:bookmarkEnd w:id="2588"/>
      <w:r>
        <w:t xml:space="preserve"> — Экспертизы. Основное окно со списком созданных экспертиз</w:t>
      </w:r>
    </w:p>
    <w:p w14:paraId="5B8F887D">
      <w:pPr>
        <w:pStyle w:val="69"/>
      </w:pPr>
      <w:r>
        <w:t>В информационной строке отображается наименование списка и количество записей.</w:t>
      </w:r>
    </w:p>
    <w:p w14:paraId="2C740EB6">
      <w:pPr>
        <w:pStyle w:val="69"/>
      </w:pPr>
      <w:r>
        <w:t>Табличная часть содержит следующие столбцы, отображающие основные сведения об экспертизе:</w:t>
      </w:r>
    </w:p>
    <w:p w14:paraId="7B6513C9">
      <w:pPr>
        <w:pStyle w:val="76"/>
        <w:rPr>
          <w:lang w:eastAsia="en-US"/>
        </w:rPr>
      </w:pPr>
      <w:r>
        <w:rPr>
          <w:lang w:eastAsia="en-US"/>
        </w:rPr>
        <w:t>поле выбора элемента списка (записи экспертизы);</w:t>
      </w:r>
    </w:p>
    <w:p w14:paraId="711A0599">
      <w:pPr>
        <w:pStyle w:val="76"/>
        <w:rPr>
          <w:lang w:eastAsia="en-US"/>
        </w:rPr>
      </w:pPr>
      <w:r>
        <w:t>«№ п/п» — порядковый номер записи;</w:t>
      </w:r>
    </w:p>
    <w:p w14:paraId="6FB504A5">
      <w:pPr>
        <w:pStyle w:val="76"/>
        <w:rPr>
          <w:lang w:eastAsia="en-US"/>
        </w:rPr>
      </w:pPr>
      <w:r>
        <w:rPr>
          <w:lang w:eastAsia="en-US"/>
        </w:rPr>
        <w:t>«Этап контроля» — этап экспертизы: медико-экономическая экспертиза или экспертиза качества медицинской помощи;</w:t>
      </w:r>
    </w:p>
    <w:p w14:paraId="0E802D3F">
      <w:pPr>
        <w:pStyle w:val="76"/>
        <w:rPr>
          <w:lang w:eastAsia="en-US"/>
        </w:rPr>
      </w:pPr>
      <w:r>
        <w:rPr>
          <w:lang w:eastAsia="en-US"/>
        </w:rPr>
        <w:t>«Подэтап» — подвид этапа контроля: плановая, внеплановая, тематическая, целевая, повторная;</w:t>
      </w:r>
    </w:p>
    <w:p w14:paraId="665494BD">
      <w:pPr>
        <w:pStyle w:val="76"/>
        <w:rPr>
          <w:lang w:eastAsia="en-US"/>
        </w:rPr>
      </w:pPr>
      <w:r>
        <w:rPr>
          <w:lang w:eastAsia="en-US"/>
        </w:rPr>
        <w:t>«Вид экспертизы» — вид экспертизы согласно классификатору видов контроля;</w:t>
      </w:r>
    </w:p>
    <w:p w14:paraId="55DB021B">
      <w:pPr>
        <w:pStyle w:val="76"/>
        <w:rPr>
          <w:lang w:eastAsia="en-US"/>
        </w:rPr>
      </w:pPr>
      <w:r>
        <w:rPr>
          <w:lang w:eastAsia="en-US"/>
        </w:rPr>
        <w:t>«Эксперт» — фамилия, имя и отчество эксперта, проводящего экспертизу;</w:t>
      </w:r>
    </w:p>
    <w:p w14:paraId="4DECB1C8">
      <w:pPr>
        <w:pStyle w:val="76"/>
        <w:rPr>
          <w:lang w:eastAsia="en-US"/>
        </w:rPr>
      </w:pPr>
      <w:r>
        <w:rPr>
          <w:lang w:eastAsia="en-US"/>
        </w:rPr>
        <w:t>«МО» — краткое наименование медицинской организации;</w:t>
      </w:r>
    </w:p>
    <w:p w14:paraId="0C6D15AF">
      <w:pPr>
        <w:pStyle w:val="76"/>
        <w:rPr>
          <w:lang w:eastAsia="en-US"/>
        </w:rPr>
      </w:pPr>
      <w:r>
        <w:rPr>
          <w:lang w:eastAsia="en-US"/>
        </w:rPr>
        <w:t>«Плательщик» — краткое наименование плательщика;</w:t>
      </w:r>
    </w:p>
    <w:p w14:paraId="4FE58DC0">
      <w:pPr>
        <w:pStyle w:val="76"/>
        <w:rPr>
          <w:lang w:eastAsia="en-US"/>
        </w:rPr>
      </w:pPr>
      <w:r>
        <w:rPr>
          <w:lang w:eastAsia="en-US"/>
        </w:rPr>
        <w:t>«Начало экспертизы» — дата начала проведения экспертизы в формате дд.мм.гггг;</w:t>
      </w:r>
    </w:p>
    <w:p w14:paraId="347BDAEA">
      <w:pPr>
        <w:pStyle w:val="76"/>
        <w:rPr>
          <w:lang w:eastAsia="en-US"/>
        </w:rPr>
      </w:pPr>
      <w:r>
        <w:rPr>
          <w:lang w:eastAsia="en-US"/>
        </w:rPr>
        <w:t>«Окончание экспертизы» — дата окончания проведения экспертизы в формате дд.мм.гггг;</w:t>
      </w:r>
    </w:p>
    <w:p w14:paraId="0E8A0686">
      <w:pPr>
        <w:pStyle w:val="76"/>
        <w:rPr>
          <w:lang w:eastAsia="en-US"/>
        </w:rPr>
      </w:pPr>
      <w:r>
        <w:rPr>
          <w:lang w:eastAsia="en-US"/>
        </w:rPr>
        <w:t xml:space="preserve">«Статус» — текущее состояние экспертизы (описание см. в таблице </w:t>
      </w:r>
      <w:r>
        <w:fldChar w:fldCharType="begin"/>
      </w:r>
      <w:r>
        <w:instrText xml:space="preserve"> REF  _Ref154563546 \h\#\0   \* MERGEFORMAT </w:instrText>
      </w:r>
      <w:r>
        <w:fldChar w:fldCharType="separate"/>
      </w:r>
      <w:r>
        <w:t>5</w:t>
      </w:r>
      <w:r>
        <w:fldChar w:fldCharType="end"/>
      </w:r>
      <w:r>
        <w:rPr>
          <w:lang w:eastAsia="en-US"/>
        </w:rPr>
        <w:t>);</w:t>
      </w:r>
    </w:p>
    <w:p w14:paraId="6028E90B">
      <w:pPr>
        <w:pStyle w:val="76"/>
        <w:rPr>
          <w:lang w:eastAsia="en-US"/>
        </w:rPr>
      </w:pPr>
      <w:r>
        <w:rPr>
          <w:lang w:eastAsia="en-US"/>
        </w:rPr>
        <w:t>«Кол-во ЗС» — количество законченных случаев, включенных в экспертизу;</w:t>
      </w:r>
    </w:p>
    <w:p w14:paraId="10FE30F1">
      <w:pPr>
        <w:pStyle w:val="76"/>
        <w:rPr>
          <w:lang w:eastAsia="en-US"/>
        </w:rPr>
      </w:pPr>
      <w:r>
        <w:rPr>
          <w:lang w:eastAsia="en-US"/>
        </w:rPr>
        <w:t>«Кол-во док-тов» — количество созданных (опубликованных) документов;</w:t>
      </w:r>
    </w:p>
    <w:p w14:paraId="1C8124D6">
      <w:pPr>
        <w:pStyle w:val="76"/>
        <w:rPr>
          <w:lang w:eastAsia="en-US"/>
        </w:rPr>
      </w:pPr>
      <w:r>
        <w:pict>
          <v:shape id="_x0000_i1025" o:spt="75" type="#_x0000_t75" style="height:14.55pt;width:15.45pt;" filled="f" o:preferrelative="t" stroked="f" coordsize="21600,21600">
            <v:path/>
            <v:fill on="f" focussize="0,0"/>
            <v:stroke on="f" joinstyle="miter"/>
            <v:imagedata r:id="rId43" o:title=""/>
            <o:lock v:ext="edit" aspectratio="t"/>
            <w10:wrap type="none"/>
            <w10:anchorlock/>
          </v:shape>
        </w:pict>
      </w:r>
      <w:r>
        <w:t xml:space="preserve"> «Настройки» — отбор столбцов для отображения.</w:t>
      </w:r>
    </w:p>
    <w:p w14:paraId="216EF76B">
      <w:pPr>
        <w:pStyle w:val="84"/>
      </w:pPr>
      <w:bookmarkStart w:id="2589" w:name="_Ref154563546"/>
      <w:r>
        <w:rPr>
          <w:rStyle w:val="72"/>
        </w:rPr>
        <w:t xml:space="preserve">Таблица </w:t>
      </w:r>
      <w:r>
        <w:fldChar w:fldCharType="begin"/>
      </w:r>
      <w:r>
        <w:instrText xml:space="preserve"> SEQ Таблица \* ARABIC </w:instrText>
      </w:r>
      <w:r>
        <w:fldChar w:fldCharType="separate"/>
      </w:r>
      <w:r>
        <w:t>5</w:t>
      </w:r>
      <w:r>
        <w:fldChar w:fldCharType="end"/>
      </w:r>
      <w:bookmarkEnd w:id="2589"/>
      <w:r>
        <w:t xml:space="preserve"> — Статусы экспертизы</w:t>
      </w:r>
    </w:p>
    <w:tbl>
      <w:tblPr>
        <w:tblStyle w:val="3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28" w:type="dxa"/>
          <w:left w:w="28" w:type="dxa"/>
          <w:bottom w:w="28" w:type="dxa"/>
          <w:right w:w="28" w:type="dxa"/>
        </w:tblCellMar>
      </w:tblPr>
      <w:tblGrid>
        <w:gridCol w:w="1993"/>
        <w:gridCol w:w="7700"/>
      </w:tblGrid>
      <w:tr w14:paraId="71557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tblHeader/>
        </w:trPr>
        <w:tc>
          <w:tcPr>
            <w:tcW w:w="1028" w:type="pct"/>
            <w:tcBorders>
              <w:bottom w:val="double" w:color="auto" w:sz="4" w:space="0"/>
            </w:tcBorders>
            <w:vAlign w:val="center"/>
          </w:tcPr>
          <w:p w14:paraId="391676E6">
            <w:pPr>
              <w:pStyle w:val="79"/>
            </w:pPr>
            <w:r>
              <w:t>Статус</w:t>
            </w:r>
          </w:p>
        </w:tc>
        <w:tc>
          <w:tcPr>
            <w:tcW w:w="3972" w:type="pct"/>
            <w:tcBorders>
              <w:bottom w:val="double" w:color="auto" w:sz="4" w:space="0"/>
            </w:tcBorders>
            <w:vAlign w:val="center"/>
          </w:tcPr>
          <w:p w14:paraId="2DDC23C8">
            <w:pPr>
              <w:pStyle w:val="79"/>
            </w:pPr>
            <w:r>
              <w:t>Описание</w:t>
            </w:r>
            <w:r>
              <w:rPr>
                <w:lang w:val="en-US"/>
              </w:rPr>
              <w:t xml:space="preserve"> </w:t>
            </w:r>
            <w:r>
              <w:t>текущего состояния</w:t>
            </w:r>
          </w:p>
        </w:tc>
      </w:tr>
      <w:tr w14:paraId="3BEBF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trPr>
        <w:tc>
          <w:tcPr>
            <w:tcW w:w="1028" w:type="pct"/>
          </w:tcPr>
          <w:p w14:paraId="776C371E">
            <w:pPr>
              <w:pStyle w:val="80"/>
            </w:pPr>
            <w:r>
              <w:t>Опубликована</w:t>
            </w:r>
          </w:p>
        </w:tc>
        <w:tc>
          <w:tcPr>
            <w:tcW w:w="3972" w:type="pct"/>
          </w:tcPr>
          <w:p w14:paraId="0D8B814C">
            <w:pPr>
              <w:pStyle w:val="80"/>
            </w:pPr>
            <w:r>
              <w:t>Экспертиза опубликована и доступна для просмотра участникам экспертизы</w:t>
            </w:r>
          </w:p>
        </w:tc>
      </w:tr>
      <w:tr w14:paraId="0D308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trPr>
        <w:tc>
          <w:tcPr>
            <w:tcW w:w="1028" w:type="pct"/>
          </w:tcPr>
          <w:p w14:paraId="674D32A9">
            <w:pPr>
              <w:pStyle w:val="80"/>
            </w:pPr>
            <w:r>
              <w:t>В работе</w:t>
            </w:r>
          </w:p>
        </w:tc>
        <w:tc>
          <w:tcPr>
            <w:tcW w:w="3972" w:type="pct"/>
          </w:tcPr>
          <w:p w14:paraId="179D6B78">
            <w:pPr>
              <w:pStyle w:val="80"/>
            </w:pPr>
            <w:r>
              <w:t>Экспертиза принята экспертом в работу</w:t>
            </w:r>
          </w:p>
        </w:tc>
      </w:tr>
      <w:tr w14:paraId="5904D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trPr>
        <w:tc>
          <w:tcPr>
            <w:tcW w:w="1028" w:type="pct"/>
          </w:tcPr>
          <w:p w14:paraId="19CD0577">
            <w:pPr>
              <w:pStyle w:val="80"/>
            </w:pPr>
            <w:r>
              <w:t>Завершена</w:t>
            </w:r>
          </w:p>
        </w:tc>
        <w:tc>
          <w:tcPr>
            <w:tcW w:w="3972" w:type="pct"/>
          </w:tcPr>
          <w:p w14:paraId="69576684">
            <w:pPr>
              <w:pStyle w:val="80"/>
            </w:pPr>
            <w:r>
              <w:t>Эксперт завершил работу над экспертизой. Выходные документы (заключение на законченный случай и заключение по результатам экспертизы) сформированы и опубликованы. Заключение по результатам экспертизы доступно для просмотра участникам экспертизы</w:t>
            </w:r>
          </w:p>
        </w:tc>
      </w:tr>
      <w:tr w14:paraId="3C4C3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trPr>
        <w:tc>
          <w:tcPr>
            <w:tcW w:w="1028" w:type="pct"/>
          </w:tcPr>
          <w:p w14:paraId="28B8584B">
            <w:pPr>
              <w:pStyle w:val="80"/>
            </w:pPr>
            <w:r>
              <w:t>На доработку</w:t>
            </w:r>
          </w:p>
        </w:tc>
        <w:tc>
          <w:tcPr>
            <w:tcW w:w="3972" w:type="pct"/>
          </w:tcPr>
          <w:p w14:paraId="431FF6CF">
            <w:pPr>
              <w:pStyle w:val="80"/>
            </w:pPr>
            <w:r>
              <w:t>Экспертиза направлена на доработку</w:t>
            </w:r>
          </w:p>
        </w:tc>
      </w:tr>
      <w:tr w14:paraId="6DC1E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trPr>
        <w:tc>
          <w:tcPr>
            <w:tcW w:w="1028" w:type="pct"/>
          </w:tcPr>
          <w:p w14:paraId="536F9E92">
            <w:pPr>
              <w:pStyle w:val="80"/>
            </w:pPr>
            <w:r>
              <w:t>Приостановлена</w:t>
            </w:r>
          </w:p>
        </w:tc>
        <w:tc>
          <w:tcPr>
            <w:tcW w:w="3972" w:type="pct"/>
          </w:tcPr>
          <w:p w14:paraId="7C233555">
            <w:pPr>
              <w:pStyle w:val="80"/>
            </w:pPr>
            <w:r>
              <w:t>Экспертиза приостановлена. Проведение экспертизы невозможно по независящим от эксперта причинам</w:t>
            </w:r>
          </w:p>
        </w:tc>
      </w:tr>
      <w:tr w14:paraId="3FABA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trPr>
        <w:tc>
          <w:tcPr>
            <w:tcW w:w="1028" w:type="pct"/>
          </w:tcPr>
          <w:p w14:paraId="42A566C3">
            <w:pPr>
              <w:pStyle w:val="80"/>
            </w:pPr>
            <w:r>
              <w:t>Закрыта</w:t>
            </w:r>
          </w:p>
        </w:tc>
        <w:tc>
          <w:tcPr>
            <w:tcW w:w="3972" w:type="pct"/>
          </w:tcPr>
          <w:p w14:paraId="5E640F4B">
            <w:pPr>
              <w:pStyle w:val="80"/>
            </w:pPr>
            <w:r>
              <w:t>Результаты экспертизы учтены в финальном ответе плательщика. Внесение изменений в запись экспертизы недоступно</w:t>
            </w:r>
          </w:p>
        </w:tc>
      </w:tr>
    </w:tbl>
    <w:p w14:paraId="3694B4DC">
      <w:pPr>
        <w:pStyle w:val="69"/>
      </w:pPr>
    </w:p>
    <w:p w14:paraId="01EB1FF6">
      <w:pPr>
        <w:pStyle w:val="69"/>
      </w:pPr>
      <w:r>
        <w:t>Поиск экспертизы возможен как по общим признакам (этап контроля, вид экспертизы, эксперт, медицинская организация), так и по периодам (проведения экспертизы или рассматриваемому периоду).</w:t>
      </w:r>
    </w:p>
    <w:p w14:paraId="3435D126">
      <w:pPr>
        <w:pStyle w:val="69"/>
      </w:pPr>
      <w:r>
        <w:t>Для поиска экспертизы в панели фильтрации и поиска информации указать параметры поиска и нажать кнопку «Найти» (рис. </w:t>
      </w:r>
      <w:r>
        <w:fldChar w:fldCharType="begin"/>
      </w:r>
      <w:r>
        <w:instrText xml:space="preserve"> REF  _Ref154577652 \h\#\0   \* MERGEFORMAT </w:instrText>
      </w:r>
      <w:r>
        <w:fldChar w:fldCharType="separate"/>
      </w:r>
      <w:r>
        <w:t>117</w:t>
      </w:r>
      <w:r>
        <w:fldChar w:fldCharType="end"/>
      </w:r>
      <w:r>
        <w:t>).</w:t>
      </w:r>
    </w:p>
    <w:p w14:paraId="0FA55BCD">
      <w:pPr>
        <w:pStyle w:val="73"/>
        <w:rPr>
          <w:lang w:val="en-US"/>
        </w:rPr>
      </w:pPr>
      <w:r>
        <w:rPr>
          <w:lang w:val="en-US"/>
        </w:rPr>
        <w:drawing>
          <wp:inline distT="0" distB="0" distL="0" distR="0">
            <wp:extent cx="2304415" cy="4657725"/>
            <wp:effectExtent l="19050" t="19050" r="19685" b="28575"/>
            <wp:docPr id="8755133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51337" name="Рисунок 2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2304415" cy="4657725"/>
                    </a:xfrm>
                    <a:prstGeom prst="rect">
                      <a:avLst/>
                    </a:prstGeom>
                    <a:noFill/>
                    <a:ln w="3175" cmpd="sng">
                      <a:solidFill>
                        <a:srgbClr val="000000"/>
                      </a:solidFill>
                    </a:ln>
                  </pic:spPr>
                </pic:pic>
              </a:graphicData>
            </a:graphic>
          </wp:inline>
        </w:drawing>
      </w:r>
    </w:p>
    <w:p w14:paraId="55BF8C68">
      <w:pPr>
        <w:pStyle w:val="74"/>
      </w:pPr>
      <w:bookmarkStart w:id="2590" w:name="_Ref154577652"/>
      <w:r>
        <w:t xml:space="preserve">Рисунок </w:t>
      </w:r>
      <w:r>
        <w:fldChar w:fldCharType="begin"/>
      </w:r>
      <w:r>
        <w:instrText xml:space="preserve"> SEQ Рисунок \* ARABIC </w:instrText>
      </w:r>
      <w:r>
        <w:fldChar w:fldCharType="separate"/>
      </w:r>
      <w:r>
        <w:t>117</w:t>
      </w:r>
      <w:r>
        <w:fldChar w:fldCharType="end"/>
      </w:r>
      <w:bookmarkEnd w:id="2590"/>
      <w:r>
        <w:t xml:space="preserve"> — Блок «Фильтр». Поиск экспертизы по параметрам</w:t>
      </w:r>
    </w:p>
    <w:p w14:paraId="307A4FD1">
      <w:pPr>
        <w:pStyle w:val="69"/>
      </w:pPr>
      <w:r>
        <w:t>В рабочей области отобразятся результаты поиска, содержащие сведения об</w:t>
      </w:r>
      <w:r>
        <w:rPr>
          <w:lang w:val="en-US"/>
        </w:rPr>
        <w:t> </w:t>
      </w:r>
      <w:r>
        <w:t>экспертизах, соответствующих заданным критериям.</w:t>
      </w:r>
    </w:p>
    <w:p w14:paraId="5F54DD31">
      <w:pPr>
        <w:pStyle w:val="69"/>
      </w:pPr>
      <w:r>
        <w:t xml:space="preserve">Для просмотра подробных сведений об экспертизе дважды нажать на строку записи экспертизы. Произойдет переход в карточку выбранной экспертизы (рис. </w:t>
      </w:r>
      <w:r>
        <w:fldChar w:fldCharType="begin"/>
      </w:r>
      <w:r>
        <w:instrText xml:space="preserve"> REF  _Ref149044216 \h\#\0   \* MERGEFORMAT </w:instrText>
      </w:r>
      <w:r>
        <w:fldChar w:fldCharType="separate"/>
      </w:r>
      <w:r>
        <w:t>118</w:t>
      </w:r>
      <w:r>
        <w:fldChar w:fldCharType="end"/>
      </w:r>
      <w:r>
        <w:t>).</w:t>
      </w:r>
    </w:p>
    <w:p w14:paraId="55B67997">
      <w:pPr>
        <w:pStyle w:val="73"/>
      </w:pPr>
      <w:r>
        <w:drawing>
          <wp:inline distT="0" distB="0" distL="0" distR="0">
            <wp:extent cx="6120765" cy="2329180"/>
            <wp:effectExtent l="19050" t="19050" r="13335" b="13970"/>
            <wp:docPr id="161779960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799609" name="Рисунок 2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6120765" cy="2329180"/>
                    </a:xfrm>
                    <a:prstGeom prst="rect">
                      <a:avLst/>
                    </a:prstGeom>
                    <a:noFill/>
                    <a:ln w="3175" cmpd="sng">
                      <a:solidFill>
                        <a:srgbClr val="000000"/>
                      </a:solidFill>
                    </a:ln>
                  </pic:spPr>
                </pic:pic>
              </a:graphicData>
            </a:graphic>
          </wp:inline>
        </w:drawing>
      </w:r>
    </w:p>
    <w:p w14:paraId="5463790F">
      <w:pPr>
        <w:pStyle w:val="74"/>
      </w:pPr>
      <w:bookmarkStart w:id="2591" w:name="_Ref149044216"/>
      <w:r>
        <w:t xml:space="preserve">Рисунок </w:t>
      </w:r>
      <w:r>
        <w:fldChar w:fldCharType="begin"/>
      </w:r>
      <w:r>
        <w:instrText xml:space="preserve"> SEQ Рисунок \* ARABIC </w:instrText>
      </w:r>
      <w:r>
        <w:fldChar w:fldCharType="separate"/>
      </w:r>
      <w:r>
        <w:t>118</w:t>
      </w:r>
      <w:r>
        <w:fldChar w:fldCharType="end"/>
      </w:r>
      <w:bookmarkEnd w:id="2591"/>
      <w:r>
        <w:t xml:space="preserve"> — Карточка экспертизы</w:t>
      </w:r>
    </w:p>
    <w:p w14:paraId="0728212D">
      <w:pPr>
        <w:pStyle w:val="69"/>
      </w:pPr>
      <w:r>
        <w:t>В карточке экспертизы в информационной строке отображается следующая информация:</w:t>
      </w:r>
    </w:p>
    <w:p w14:paraId="298D5DF7">
      <w:pPr>
        <w:pStyle w:val="76"/>
      </w:pPr>
      <w:r>
        <w:t>наименование формы — «Экспертиза»;</w:t>
      </w:r>
    </w:p>
    <w:p w14:paraId="2F5AA36D">
      <w:pPr>
        <w:pStyle w:val="76"/>
      </w:pPr>
      <w:r>
        <w:t>номер экспертизы;</w:t>
      </w:r>
    </w:p>
    <w:p w14:paraId="433C4625">
      <w:pPr>
        <w:pStyle w:val="76"/>
      </w:pPr>
      <w:r>
        <w:t>дата создания экспертизы;</w:t>
      </w:r>
    </w:p>
    <w:p w14:paraId="7A5BC018">
      <w:pPr>
        <w:pStyle w:val="76"/>
      </w:pPr>
      <w:r>
        <w:t>текущее состояние экспертизы.</w:t>
      </w:r>
    </w:p>
    <w:p w14:paraId="2CE563F0">
      <w:pPr>
        <w:pStyle w:val="69"/>
      </w:pPr>
      <w:r>
        <w:t>В блоке «Общие сведения» отображается основные реквизиты экспертизы:</w:t>
      </w:r>
    </w:p>
    <w:p w14:paraId="0C25C673">
      <w:pPr>
        <w:pStyle w:val="76"/>
        <w:ind w:left="1"/>
      </w:pPr>
      <w:r>
        <w:t>«ИД» — идентификационный номер экспертизы в ФПУМП;</w:t>
      </w:r>
    </w:p>
    <w:p w14:paraId="203AD191">
      <w:pPr>
        <w:pStyle w:val="76"/>
        <w:ind w:left="1"/>
      </w:pPr>
      <w:r>
        <w:t>«Дата создания»;</w:t>
      </w:r>
    </w:p>
    <w:p w14:paraId="0B8677F7">
      <w:pPr>
        <w:pStyle w:val="76"/>
        <w:ind w:left="1"/>
      </w:pPr>
      <w:r>
        <w:t>«Статус» — текущее состояние экспертизы;</w:t>
      </w:r>
    </w:p>
    <w:p w14:paraId="40B4F71D">
      <w:pPr>
        <w:pStyle w:val="76"/>
        <w:ind w:left="1"/>
      </w:pPr>
      <w:r>
        <w:t xml:space="preserve">«Этап контроля» — </w:t>
      </w:r>
      <w:r>
        <w:rPr>
          <w:lang w:eastAsia="en-US"/>
        </w:rPr>
        <w:t>этап экспертизы: медико-экономическая экспертиза или экспертиза качества медицинской помощи</w:t>
      </w:r>
      <w:r>
        <w:t>;</w:t>
      </w:r>
    </w:p>
    <w:p w14:paraId="7978F474">
      <w:pPr>
        <w:pStyle w:val="76"/>
        <w:ind w:left="1"/>
      </w:pPr>
      <w:r>
        <w:t>«Вид экспертизы» — вид экспертизы согласно классификатору видов контроля;</w:t>
      </w:r>
    </w:p>
    <w:p w14:paraId="3046F14A">
      <w:pPr>
        <w:pStyle w:val="76"/>
        <w:ind w:left="1"/>
      </w:pPr>
      <w:r>
        <w:t>«МО»;</w:t>
      </w:r>
    </w:p>
    <w:p w14:paraId="2CA37422">
      <w:pPr>
        <w:pStyle w:val="76"/>
        <w:ind w:left="1"/>
      </w:pPr>
      <w:r>
        <w:t>«Эксперт» — фамилия, имя и отчество назначенного эксперта;</w:t>
      </w:r>
    </w:p>
    <w:p w14:paraId="15AB046F">
      <w:pPr>
        <w:pStyle w:val="76"/>
        <w:ind w:left="1"/>
      </w:pPr>
      <w:r>
        <w:t>«Специальность» — специальность эксперта;</w:t>
      </w:r>
    </w:p>
    <w:p w14:paraId="5CD5E61F">
      <w:pPr>
        <w:pStyle w:val="76"/>
        <w:ind w:left="1"/>
      </w:pPr>
      <w:r>
        <w:t>«Плательщик»;</w:t>
      </w:r>
    </w:p>
    <w:p w14:paraId="14EA1E43">
      <w:pPr>
        <w:pStyle w:val="76"/>
        <w:ind w:left="1"/>
      </w:pPr>
      <w:r>
        <w:t>«Рассматрив. периоды» — даты начала и окончания рассматриваемого периода;</w:t>
      </w:r>
    </w:p>
    <w:p w14:paraId="7497B280">
      <w:pPr>
        <w:pStyle w:val="76"/>
        <w:ind w:left="1"/>
      </w:pPr>
      <w:r>
        <w:t>«Начало экспертизы» — дата начала проведения экспертизы;</w:t>
      </w:r>
    </w:p>
    <w:p w14:paraId="7AA7C13F">
      <w:pPr>
        <w:pStyle w:val="76"/>
        <w:ind w:left="1"/>
      </w:pPr>
      <w:r>
        <w:t>«Окончание экспертизы» — дата окончания экспертизы;</w:t>
      </w:r>
    </w:p>
    <w:p w14:paraId="6F35BC01">
      <w:pPr>
        <w:pStyle w:val="76"/>
      </w:pPr>
      <w:r>
        <w:t xml:space="preserve">«Дата документа основания» — дата </w:t>
      </w:r>
      <w:bookmarkStart w:id="2592" w:name="_Hlk150417488"/>
      <w:r>
        <w:t>документа, на основании которого проводится экспертиза</w:t>
      </w:r>
      <w:bookmarkEnd w:id="2592"/>
      <w:r>
        <w:t>;</w:t>
      </w:r>
    </w:p>
    <w:p w14:paraId="7B7A599C">
      <w:pPr>
        <w:pStyle w:val="76"/>
      </w:pPr>
      <w:r>
        <w:t>«Номер документа основания» — номер документа, на основании которого проводится экспертиза;</w:t>
      </w:r>
    </w:p>
    <w:p w14:paraId="1FCCC191">
      <w:pPr>
        <w:pStyle w:val="76"/>
      </w:pPr>
      <w:r>
        <w:t>«Наименование документа основания» — наименование документа, на основании которого проводится экспертиза;</w:t>
      </w:r>
    </w:p>
    <w:p w14:paraId="0D2A8FF3">
      <w:pPr>
        <w:pStyle w:val="76"/>
      </w:pPr>
      <w:r>
        <w:t>«Направившая организация» — краткое наименование организации, инициирующей проведение экспертизы.</w:t>
      </w:r>
    </w:p>
    <w:p w14:paraId="34E12090">
      <w:pPr>
        <w:pStyle w:val="69"/>
      </w:pPr>
      <w:r>
        <w:t>В нижней части в блоке «СЭФД» отображается перечень СЭФД, которые были отобраны для проведения экспертизы.</w:t>
      </w:r>
    </w:p>
    <w:p w14:paraId="3BAB127F">
      <w:pPr>
        <w:pStyle w:val="69"/>
        <w:keepNext/>
      </w:pPr>
      <w:r>
        <w:t>Табличная часть содержит следующие поля:</w:t>
      </w:r>
    </w:p>
    <w:p w14:paraId="4553305A">
      <w:pPr>
        <w:pStyle w:val="76"/>
      </w:pPr>
      <w:bookmarkStart w:id="2593" w:name="_Hlk156389544"/>
      <w:r>
        <w:t>поле выбора элемента списка;</w:t>
      </w:r>
    </w:p>
    <w:p w14:paraId="2372C44A">
      <w:pPr>
        <w:pStyle w:val="76"/>
      </w:pPr>
      <w:r>
        <w:t>«Случаи» — информация о случаях оказания МП в составе ЗС;</w:t>
      </w:r>
    </w:p>
    <w:p w14:paraId="04E10B53">
      <w:pPr>
        <w:pStyle w:val="76"/>
      </w:pPr>
      <w:r>
        <w:t>«ИД» — идентификатор СЭФД;</w:t>
      </w:r>
    </w:p>
    <w:p w14:paraId="487C2AB8">
      <w:pPr>
        <w:pStyle w:val="76"/>
      </w:pPr>
      <w:r>
        <w:t>«Медкарта/ИБ» — номер медкарты/истории болезни;</w:t>
      </w:r>
    </w:p>
    <w:p w14:paraId="5E7FBE31">
      <w:pPr>
        <w:pStyle w:val="76"/>
      </w:pPr>
      <w:r>
        <w:t>«ФИО пациента»;</w:t>
      </w:r>
    </w:p>
    <w:p w14:paraId="65B04679">
      <w:pPr>
        <w:pStyle w:val="76"/>
      </w:pPr>
      <w:r>
        <w:t>«Дата оконч. леч.» — дата окончания лечения;</w:t>
      </w:r>
    </w:p>
    <w:p w14:paraId="368C86A5">
      <w:pPr>
        <w:pStyle w:val="76"/>
      </w:pPr>
      <w:r>
        <w:t>«Основной диагноз»;</w:t>
      </w:r>
    </w:p>
    <w:p w14:paraId="481636FE">
      <w:pPr>
        <w:pStyle w:val="76"/>
      </w:pPr>
      <w:r>
        <w:t>«КМП» — сведения об ориентирах КМП;</w:t>
      </w:r>
    </w:p>
    <w:p w14:paraId="174879F4">
      <w:pPr>
        <w:pStyle w:val="76"/>
      </w:pPr>
      <w:r>
        <w:t>«№ направл. на эксп.» — номер направления на экспертизу;</w:t>
      </w:r>
    </w:p>
    <w:p w14:paraId="527B4AA6">
      <w:pPr>
        <w:pStyle w:val="76"/>
      </w:pPr>
      <w:r>
        <w:t>«Сумма СЭФД, руб»;</w:t>
      </w:r>
    </w:p>
    <w:p w14:paraId="5EEBA74E">
      <w:pPr>
        <w:pStyle w:val="76"/>
      </w:pPr>
      <w:r>
        <w:t>«Заключение».</w:t>
      </w:r>
    </w:p>
    <w:p w14:paraId="325980C6">
      <w:pPr>
        <w:pStyle w:val="69"/>
      </w:pPr>
      <w:r>
        <w:t xml:space="preserve">В блоке «Файлы» (рис. </w:t>
      </w:r>
      <w:r>
        <w:fldChar w:fldCharType="begin"/>
      </w:r>
      <w:r>
        <w:instrText xml:space="preserve"> REF  _Ref149732219 \h\#\0   \* MERGEFORMAT </w:instrText>
      </w:r>
      <w:r>
        <w:fldChar w:fldCharType="separate"/>
      </w:r>
      <w:r>
        <w:t>119</w:t>
      </w:r>
      <w:r>
        <w:fldChar w:fldCharType="end"/>
      </w:r>
      <w:r>
        <w:t>) отображаются документы, сформированные и опубликованные экспертом.</w:t>
      </w:r>
    </w:p>
    <w:p w14:paraId="2EAE02B3">
      <w:pPr>
        <w:pStyle w:val="73"/>
      </w:pPr>
      <w:r>
        <w:drawing>
          <wp:inline distT="0" distB="0" distL="0" distR="0">
            <wp:extent cx="6120765" cy="939165"/>
            <wp:effectExtent l="19050" t="19050" r="13335" b="13335"/>
            <wp:docPr id="174235521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355216" name="Рисунок 2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6120765" cy="939165"/>
                    </a:xfrm>
                    <a:prstGeom prst="rect">
                      <a:avLst/>
                    </a:prstGeom>
                    <a:noFill/>
                    <a:ln w="3175" cmpd="sng">
                      <a:solidFill>
                        <a:srgbClr val="000000"/>
                      </a:solidFill>
                    </a:ln>
                  </pic:spPr>
                </pic:pic>
              </a:graphicData>
            </a:graphic>
          </wp:inline>
        </w:drawing>
      </w:r>
    </w:p>
    <w:p w14:paraId="64AA4D8A">
      <w:pPr>
        <w:pStyle w:val="74"/>
      </w:pPr>
      <w:bookmarkStart w:id="2594" w:name="_Ref149732219"/>
      <w:bookmarkStart w:id="2595" w:name="_Hlk150424150"/>
      <w:r>
        <w:t xml:space="preserve">Рисунок </w:t>
      </w:r>
      <w:r>
        <w:fldChar w:fldCharType="begin"/>
      </w:r>
      <w:r>
        <w:instrText xml:space="preserve"> SEQ Рисунок \* ARABIC </w:instrText>
      </w:r>
      <w:r>
        <w:fldChar w:fldCharType="separate"/>
      </w:r>
      <w:r>
        <w:t>119</w:t>
      </w:r>
      <w:r>
        <w:fldChar w:fldCharType="end"/>
      </w:r>
      <w:bookmarkEnd w:id="2594"/>
      <w:r>
        <w:t xml:space="preserve"> — Файлы. Уведомление</w:t>
      </w:r>
    </w:p>
    <w:bookmarkEnd w:id="2593"/>
    <w:bookmarkEnd w:id="2595"/>
    <w:p w14:paraId="746D9008">
      <w:pPr>
        <w:pStyle w:val="60"/>
      </w:pPr>
      <w:bookmarkStart w:id="2596" w:name="_Toc196317503"/>
      <w:bookmarkStart w:id="2597" w:name="_Ref154570401"/>
      <w:bookmarkStart w:id="2598" w:name="_Toc225866359"/>
      <w:r>
        <w:t>Просмотр уведомлений о проведении экспертизы</w:t>
      </w:r>
      <w:bookmarkEnd w:id="2596"/>
      <w:bookmarkEnd w:id="2597"/>
      <w:bookmarkEnd w:id="2598"/>
    </w:p>
    <w:p w14:paraId="23C0777A">
      <w:pPr>
        <w:pStyle w:val="69"/>
      </w:pPr>
      <w:r>
        <w:t xml:space="preserve">Для просмотра уведомления скачать файл, нажав на ссылку в столбце «Ссылка на файл» в блоке «Файлы» карточки экспертизы (рис. </w:t>
      </w:r>
      <w:r>
        <w:fldChar w:fldCharType="begin"/>
      </w:r>
      <w:r>
        <w:instrText xml:space="preserve"> REF  _Ref225857899 \h \t \#\0 \* MERGEFORMAT </w:instrText>
      </w:r>
      <w:r>
        <w:fldChar w:fldCharType="separate"/>
      </w:r>
      <w:r>
        <w:t>120</w:t>
      </w:r>
      <w:r>
        <w:fldChar w:fldCharType="end"/>
      </w:r>
      <w:r>
        <w:t>).</w:t>
      </w:r>
    </w:p>
    <w:p w14:paraId="29B4573E">
      <w:pPr>
        <w:pStyle w:val="73"/>
      </w:pPr>
      <w:r>
        <w:drawing>
          <wp:inline distT="0" distB="0" distL="0" distR="0">
            <wp:extent cx="6119495" cy="3482975"/>
            <wp:effectExtent l="19050" t="19050" r="14605" b="22225"/>
            <wp:docPr id="17216191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19186" name="Рисунок 1"/>
                    <pic:cNvPicPr>
                      <a:picLocks noChangeAspect="1"/>
                    </pic:cNvPicPr>
                  </pic:nvPicPr>
                  <pic:blipFill>
                    <a:blip r:embed="rId147"/>
                    <a:stretch>
                      <a:fillRect/>
                    </a:stretch>
                  </pic:blipFill>
                  <pic:spPr>
                    <a:xfrm>
                      <a:off x="0" y="0"/>
                      <a:ext cx="6119495" cy="3482975"/>
                    </a:xfrm>
                    <a:prstGeom prst="rect">
                      <a:avLst/>
                    </a:prstGeom>
                    <a:noFill/>
                    <a:ln w="3175" cmpd="sng">
                      <a:solidFill>
                        <a:srgbClr val="000000"/>
                      </a:solidFill>
                    </a:ln>
                  </pic:spPr>
                </pic:pic>
              </a:graphicData>
            </a:graphic>
          </wp:inline>
        </w:drawing>
      </w:r>
    </w:p>
    <w:p w14:paraId="0683A9C9">
      <w:pPr>
        <w:pStyle w:val="74"/>
      </w:pPr>
      <w:bookmarkStart w:id="2599" w:name="_Ref225857899"/>
      <w:r>
        <w:t xml:space="preserve">Рисунок </w:t>
      </w:r>
      <w:r>
        <w:fldChar w:fldCharType="begin"/>
      </w:r>
      <w:r>
        <w:instrText xml:space="preserve"> SEQ Рисунок \* ARABIC </w:instrText>
      </w:r>
      <w:r>
        <w:fldChar w:fldCharType="separate"/>
      </w:r>
      <w:r>
        <w:t>120</w:t>
      </w:r>
      <w:r>
        <w:fldChar w:fldCharType="end"/>
      </w:r>
      <w:r>
        <w:t xml:space="preserve"> — Карточка экспертизы. Получение уведомления о проведении экспертизы</w:t>
      </w:r>
      <w:bookmarkEnd w:id="2599"/>
    </w:p>
    <w:p w14:paraId="2A3B6823">
      <w:pPr>
        <w:pStyle w:val="69"/>
      </w:pPr>
      <w:r>
        <w:t xml:space="preserve">Пример уведомления о проведении экспертизы приведен на рисунке </w:t>
      </w:r>
      <w:r>
        <w:fldChar w:fldCharType="begin"/>
      </w:r>
      <w:r>
        <w:instrText xml:space="preserve"> REF  _Ref154424843 \h\#\0   \* MERGEFORMAT </w:instrText>
      </w:r>
      <w:r>
        <w:fldChar w:fldCharType="separate"/>
      </w:r>
      <w:r>
        <w:t>121</w:t>
      </w:r>
      <w:r>
        <w:fldChar w:fldCharType="end"/>
      </w:r>
      <w:r>
        <w:t>.</w:t>
      </w:r>
    </w:p>
    <w:p w14:paraId="4416C97A">
      <w:pPr>
        <w:pStyle w:val="73"/>
      </w:pPr>
      <w:r>
        <w:drawing>
          <wp:inline distT="0" distB="0" distL="0" distR="0">
            <wp:extent cx="6343015" cy="7181850"/>
            <wp:effectExtent l="19050" t="19050" r="19685" b="19050"/>
            <wp:docPr id="207051190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511902" name="Рисунок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6356420" cy="7196547"/>
                    </a:xfrm>
                    <a:prstGeom prst="rect">
                      <a:avLst/>
                    </a:prstGeom>
                    <a:noFill/>
                    <a:ln w="3175" cmpd="sng">
                      <a:solidFill>
                        <a:srgbClr val="000000"/>
                      </a:solidFill>
                    </a:ln>
                  </pic:spPr>
                </pic:pic>
              </a:graphicData>
            </a:graphic>
          </wp:inline>
        </w:drawing>
      </w:r>
    </w:p>
    <w:p w14:paraId="393C2117">
      <w:pPr>
        <w:pStyle w:val="74"/>
      </w:pPr>
      <w:bookmarkStart w:id="2600" w:name="_Ref154424843"/>
      <w:r>
        <w:t xml:space="preserve">Рисунок </w:t>
      </w:r>
      <w:r>
        <w:fldChar w:fldCharType="begin"/>
      </w:r>
      <w:r>
        <w:instrText xml:space="preserve"> SEQ Рисунок \* ARABIC </w:instrText>
      </w:r>
      <w:r>
        <w:fldChar w:fldCharType="separate"/>
      </w:r>
      <w:r>
        <w:t>121</w:t>
      </w:r>
      <w:r>
        <w:fldChar w:fldCharType="end"/>
      </w:r>
      <w:bookmarkEnd w:id="2600"/>
      <w:r>
        <w:t xml:space="preserve"> — Пример уведомления о проведении экспертизы МЭЭ</w:t>
      </w:r>
    </w:p>
    <w:p w14:paraId="52CE4C0A">
      <w:pPr>
        <w:pStyle w:val="60"/>
      </w:pPr>
      <w:bookmarkStart w:id="2601" w:name="_Ref154570245"/>
      <w:bookmarkStart w:id="2602" w:name="_Toc196317504"/>
      <w:bookmarkStart w:id="2603" w:name="_Toc225866360"/>
      <w:r>
        <w:rPr>
          <w:lang w:eastAsia="en-US"/>
        </w:rPr>
        <w:t>Просмотр заключения по результатам экспертизы</w:t>
      </w:r>
      <w:bookmarkEnd w:id="2601"/>
      <w:bookmarkEnd w:id="2602"/>
      <w:bookmarkEnd w:id="2603"/>
    </w:p>
    <w:p w14:paraId="4F480FEC">
      <w:pPr>
        <w:pStyle w:val="69"/>
      </w:pPr>
      <w:r>
        <w:t>По результатам проведенной экспертизы эксперт выставляет на законченные случаи дефекты, на основании которых начисляются финансовые санкции: удержания (снятия) и штрафы, и формирует Заключение по результатам экспертизы по форме, предусмотренной Приказом Федерального фонда обязательного медицинского страхования от 19 сентября 2022 г. № 120н. После публикации Заключения экспертом оно становится доступно для просмотра участникам экспертизы в блоке «Файлы».</w:t>
      </w:r>
    </w:p>
    <w:p w14:paraId="1A97A6FB">
      <w:pPr>
        <w:pStyle w:val="69"/>
      </w:pPr>
      <w:r>
        <w:t xml:space="preserve">Для просмотра Заключения об экспертизе, нажать в столбце «Заключение» на «Просмотр». </w:t>
      </w:r>
      <w:bookmarkStart w:id="2604" w:name="_Hlk156390841"/>
      <w:r>
        <w:t xml:space="preserve">В блоке вывода информации отобразится заключение об экспертизе. Примеры заключений приведены на рисунках </w:t>
      </w:r>
      <w:r>
        <w:fldChar w:fldCharType="begin"/>
      </w:r>
      <w:r>
        <w:instrText xml:space="preserve"> REF  _Ref149045786 \h\#\0   \* MERGEFORMAT </w:instrText>
      </w:r>
      <w:r>
        <w:fldChar w:fldCharType="separate"/>
      </w:r>
      <w:r>
        <w:t>122</w:t>
      </w:r>
      <w:r>
        <w:fldChar w:fldCharType="end"/>
      </w:r>
      <w:r>
        <w:t xml:space="preserve"> и </w:t>
      </w:r>
      <w:r>
        <w:fldChar w:fldCharType="begin"/>
      </w:r>
      <w:r>
        <w:instrText xml:space="preserve"> REF  _Ref154565878 \h\#\0   \* MERGEFORMAT </w:instrText>
      </w:r>
      <w:r>
        <w:fldChar w:fldCharType="separate"/>
      </w:r>
      <w:r>
        <w:t>123</w:t>
      </w:r>
      <w:r>
        <w:fldChar w:fldCharType="end"/>
      </w:r>
      <w:r>
        <w:t>.</w:t>
      </w:r>
    </w:p>
    <w:p w14:paraId="46EDA148">
      <w:pPr>
        <w:pStyle w:val="73"/>
      </w:pPr>
      <w:r>
        <w:drawing>
          <wp:inline distT="0" distB="0" distL="0" distR="0">
            <wp:extent cx="6119495" cy="2364740"/>
            <wp:effectExtent l="19050" t="19050" r="14605" b="16510"/>
            <wp:docPr id="93518673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86731" name="Рисунок 5"/>
                    <pic:cNvPicPr>
                      <a:picLocks noChangeAspect="1" noChangeArrowheads="1"/>
                    </pic:cNvPicPr>
                  </pic:nvPicPr>
                  <pic:blipFill>
                    <a:blip r:embed="rId149" cstate="print">
                      <a:extLst>
                        <a:ext uri="{28A0092B-C50C-407E-A947-70E740481C1C}">
                          <a14:useLocalDpi xmlns:a14="http://schemas.microsoft.com/office/drawing/2010/main" val="0"/>
                        </a:ext>
                      </a:extLst>
                    </a:blip>
                    <a:srcRect l="20078"/>
                    <a:stretch>
                      <a:fillRect/>
                    </a:stretch>
                  </pic:blipFill>
                  <pic:spPr>
                    <a:xfrm>
                      <a:off x="0" y="0"/>
                      <a:ext cx="6120000" cy="2364948"/>
                    </a:xfrm>
                    <a:prstGeom prst="rect">
                      <a:avLst/>
                    </a:prstGeom>
                    <a:noFill/>
                    <a:ln w="3175" cmpd="sng">
                      <a:solidFill>
                        <a:srgbClr val="000000"/>
                      </a:solidFill>
                    </a:ln>
                  </pic:spPr>
                </pic:pic>
              </a:graphicData>
            </a:graphic>
          </wp:inline>
        </w:drawing>
      </w:r>
    </w:p>
    <w:p w14:paraId="2551268B">
      <w:pPr>
        <w:pStyle w:val="74"/>
      </w:pPr>
      <w:bookmarkStart w:id="2605" w:name="_Ref149045786"/>
      <w:r>
        <w:t xml:space="preserve">Рисунок </w:t>
      </w:r>
      <w:r>
        <w:fldChar w:fldCharType="begin"/>
      </w:r>
      <w:r>
        <w:instrText xml:space="preserve"> SEQ Рисунок \* ARABIC </w:instrText>
      </w:r>
      <w:r>
        <w:fldChar w:fldCharType="separate"/>
      </w:r>
      <w:r>
        <w:t>122</w:t>
      </w:r>
      <w:r>
        <w:fldChar w:fldCharType="end"/>
      </w:r>
      <w:bookmarkEnd w:id="2605"/>
      <w:r>
        <w:t xml:space="preserve"> – Заключение МЭЭ</w:t>
      </w:r>
    </w:p>
    <w:p w14:paraId="35405EBD">
      <w:pPr>
        <w:pStyle w:val="69"/>
      </w:pPr>
      <w:r>
        <w:t>Заключение МЭЭ в блоке «Общие сведения» содержит сведения о снятиях и штрафах.</w:t>
      </w:r>
    </w:p>
    <w:p w14:paraId="017F5400">
      <w:pPr>
        <w:pStyle w:val="69"/>
      </w:pPr>
      <w:r>
        <w:t>В блоке «Список случаев ПМД» отображаются следующие сведения:</w:t>
      </w:r>
    </w:p>
    <w:p w14:paraId="0CC64797">
      <w:pPr>
        <w:pStyle w:val="76"/>
      </w:pPr>
      <w:r>
        <w:t>«Номер случая»;</w:t>
      </w:r>
    </w:p>
    <w:p w14:paraId="2DB51931">
      <w:pPr>
        <w:pStyle w:val="76"/>
      </w:pPr>
      <w:r>
        <w:t>«Дата начала оказания МП»</w:t>
      </w:r>
      <w:r>
        <w:rPr>
          <w:lang w:val="en-US"/>
        </w:rPr>
        <w:t>;</w:t>
      </w:r>
    </w:p>
    <w:p w14:paraId="179427A9">
      <w:pPr>
        <w:pStyle w:val="76"/>
      </w:pPr>
      <w:r>
        <w:t>«Дата окончания оказания МП»</w:t>
      </w:r>
      <w:r>
        <w:rPr>
          <w:lang w:val="en-US"/>
        </w:rPr>
        <w:t>;</w:t>
      </w:r>
    </w:p>
    <w:p w14:paraId="29C238BA">
      <w:pPr>
        <w:pStyle w:val="76"/>
      </w:pPr>
      <w:r>
        <w:t>«Код занятости врача»</w:t>
      </w:r>
      <w:r>
        <w:rPr>
          <w:lang w:val="en-US"/>
        </w:rPr>
        <w:t>;</w:t>
      </w:r>
    </w:p>
    <w:p w14:paraId="1B070DDA">
      <w:pPr>
        <w:pStyle w:val="76"/>
      </w:pPr>
      <w:r>
        <w:t>«Код отказа»</w:t>
      </w:r>
      <w:r>
        <w:rPr>
          <w:lang w:val="en-US"/>
        </w:rPr>
        <w:t>;</w:t>
      </w:r>
    </w:p>
    <w:p w14:paraId="78AB30F5">
      <w:pPr>
        <w:pStyle w:val="76"/>
      </w:pPr>
      <w:r>
        <w:t>«Основание отказа»</w:t>
      </w:r>
      <w:r>
        <w:rPr>
          <w:lang w:val="en-US"/>
        </w:rPr>
        <w:t>;</w:t>
      </w:r>
    </w:p>
    <w:p w14:paraId="5A821782">
      <w:pPr>
        <w:pStyle w:val="76"/>
      </w:pPr>
      <w:r>
        <w:t>«Снятия, руб»</w:t>
      </w:r>
      <w:r>
        <w:rPr>
          <w:lang w:val="en-US"/>
        </w:rPr>
        <w:t>;</w:t>
      </w:r>
    </w:p>
    <w:p w14:paraId="4BCCB90E">
      <w:pPr>
        <w:pStyle w:val="76"/>
      </w:pPr>
      <w:r>
        <w:t>«Штрафы, руб»</w:t>
      </w:r>
      <w:r>
        <w:rPr>
          <w:lang w:val="en-US"/>
        </w:rPr>
        <w:t>;</w:t>
      </w:r>
    </w:p>
    <w:p w14:paraId="07E43E55">
      <w:pPr>
        <w:pStyle w:val="76"/>
      </w:pPr>
      <w:r>
        <w:t>«Код отказа»</w:t>
      </w:r>
      <w:r>
        <w:rPr>
          <w:lang w:val="en-US"/>
        </w:rPr>
        <w:t>;</w:t>
      </w:r>
    </w:p>
    <w:p w14:paraId="5A37FA1A">
      <w:pPr>
        <w:pStyle w:val="76"/>
      </w:pPr>
      <w:r>
        <w:t>«Основание отказа»</w:t>
      </w:r>
      <w:r>
        <w:rPr>
          <w:lang w:val="en-US"/>
        </w:rPr>
        <w:t>;</w:t>
      </w:r>
    </w:p>
    <w:p w14:paraId="30828C44">
      <w:pPr>
        <w:pStyle w:val="76"/>
      </w:pPr>
      <w:r>
        <w:t>«Снятия, руб»</w:t>
      </w:r>
      <w:r>
        <w:rPr>
          <w:lang w:val="en-US"/>
        </w:rPr>
        <w:t>;</w:t>
      </w:r>
    </w:p>
    <w:p w14:paraId="1B4BD7DC">
      <w:pPr>
        <w:pStyle w:val="76"/>
      </w:pPr>
      <w:r>
        <w:t>«Штрафы, руб».</w:t>
      </w:r>
    </w:p>
    <w:p w14:paraId="47A4CD84">
      <w:pPr>
        <w:pStyle w:val="73"/>
      </w:pPr>
      <w:r>
        <w:drawing>
          <wp:inline distT="0" distB="0" distL="0" distR="0">
            <wp:extent cx="6119495" cy="3418205"/>
            <wp:effectExtent l="19050" t="19050" r="14605" b="10795"/>
            <wp:docPr id="906414935" name="Рисунок 906414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414935" name="Рисунок 906414935"/>
                    <pic:cNvPicPr>
                      <a:picLocks noChangeAspect="1"/>
                    </pic:cNvPicPr>
                  </pic:nvPicPr>
                  <pic:blipFill>
                    <a:blip r:embed="rId150"/>
                    <a:srcRect l="20527"/>
                    <a:stretch>
                      <a:fillRect/>
                    </a:stretch>
                  </pic:blipFill>
                  <pic:spPr>
                    <a:xfrm>
                      <a:off x="0" y="0"/>
                      <a:ext cx="6120000" cy="3418688"/>
                    </a:xfrm>
                    <a:prstGeom prst="rect">
                      <a:avLst/>
                    </a:prstGeom>
                    <a:ln w="3175" cap="flat" cmpd="sng" algn="ctr">
                      <a:solidFill>
                        <a:srgbClr val="000000"/>
                      </a:solidFill>
                      <a:prstDash val="solid"/>
                      <a:round/>
                      <a:headEnd type="none" w="med" len="med"/>
                      <a:tailEnd type="none" w="med" len="med"/>
                    </a:ln>
                  </pic:spPr>
                </pic:pic>
              </a:graphicData>
            </a:graphic>
          </wp:inline>
        </w:drawing>
      </w:r>
    </w:p>
    <w:p w14:paraId="186D1C71">
      <w:pPr>
        <w:pStyle w:val="74"/>
      </w:pPr>
      <w:bookmarkStart w:id="2606" w:name="_Ref154565878"/>
      <w:r>
        <w:t xml:space="preserve">Рисунок </w:t>
      </w:r>
      <w:r>
        <w:fldChar w:fldCharType="begin"/>
      </w:r>
      <w:r>
        <w:instrText xml:space="preserve"> SEQ Рисунок \* ARABIC </w:instrText>
      </w:r>
      <w:r>
        <w:fldChar w:fldCharType="separate"/>
      </w:r>
      <w:r>
        <w:t>123</w:t>
      </w:r>
      <w:r>
        <w:fldChar w:fldCharType="end"/>
      </w:r>
      <w:bookmarkEnd w:id="2606"/>
      <w:r>
        <w:t xml:space="preserve"> —Заключение ЭКМП</w:t>
      </w:r>
    </w:p>
    <w:p w14:paraId="2CE8EC93">
      <w:pPr>
        <w:pStyle w:val="69"/>
      </w:pPr>
      <w:r>
        <w:t>Заключение ЭКМП в блоке «Общие сведения» содержит следующие данные:</w:t>
      </w:r>
    </w:p>
    <w:p w14:paraId="7EC88EDA">
      <w:pPr>
        <w:pStyle w:val="76"/>
      </w:pPr>
      <w:r>
        <w:t>«Код основания отказа»;</w:t>
      </w:r>
    </w:p>
    <w:p w14:paraId="6F1D3E06">
      <w:pPr>
        <w:pStyle w:val="76"/>
      </w:pPr>
      <w:r>
        <w:t>«Основание»</w:t>
      </w:r>
      <w:r>
        <w:rPr>
          <w:lang w:val="en-US"/>
        </w:rPr>
        <w:t>;</w:t>
      </w:r>
    </w:p>
    <w:p w14:paraId="4FE15DB2">
      <w:pPr>
        <w:pStyle w:val="76"/>
      </w:pPr>
      <w:r>
        <w:t>«Снятия»</w:t>
      </w:r>
      <w:r>
        <w:rPr>
          <w:lang w:val="en-US"/>
        </w:rPr>
        <w:t>;</w:t>
      </w:r>
    </w:p>
    <w:p w14:paraId="13D456B3">
      <w:pPr>
        <w:pStyle w:val="76"/>
      </w:pPr>
      <w:r>
        <w:t>«Штрафы»;</w:t>
      </w:r>
    </w:p>
    <w:p w14:paraId="540ECD1E">
      <w:pPr>
        <w:pStyle w:val="76"/>
      </w:pPr>
      <w:r>
        <w:t>«Способ сбора информации»</w:t>
      </w:r>
      <w:r>
        <w:rPr>
          <w:lang w:val="en-US"/>
        </w:rPr>
        <w:t>.</w:t>
      </w:r>
    </w:p>
    <w:p w14:paraId="56DFEBA9">
      <w:pPr>
        <w:pStyle w:val="69"/>
      </w:pPr>
      <w:r>
        <w:t>Блок «Финальный (клинический или патологоанатомический) диагноз, который выставил эксперт» содержит следующие сведения:</w:t>
      </w:r>
    </w:p>
    <w:p w14:paraId="6760A495">
      <w:pPr>
        <w:pStyle w:val="76"/>
      </w:pPr>
      <w:r>
        <w:t>«Основной»;</w:t>
      </w:r>
    </w:p>
    <w:p w14:paraId="0196E171">
      <w:pPr>
        <w:pStyle w:val="76"/>
        <w:rPr>
          <w:lang w:val="en-US"/>
        </w:rPr>
      </w:pPr>
      <w:r>
        <w:t>«Сопутствующий»</w:t>
      </w:r>
      <w:r>
        <w:rPr>
          <w:lang w:val="en-US"/>
        </w:rPr>
        <w:t>;</w:t>
      </w:r>
    </w:p>
    <w:p w14:paraId="14536274">
      <w:pPr>
        <w:pStyle w:val="76"/>
      </w:pPr>
      <w:r>
        <w:t>«Осложнение».</w:t>
      </w:r>
    </w:p>
    <w:p w14:paraId="5DF4AAAC">
      <w:pPr>
        <w:pStyle w:val="69"/>
      </w:pPr>
      <w:r>
        <w:t>Блок «Дополнительная информация» содержит следующие сведения:</w:t>
      </w:r>
    </w:p>
    <w:p w14:paraId="0E44661C">
      <w:pPr>
        <w:pStyle w:val="76"/>
      </w:pPr>
      <w:r>
        <w:t>«Преемственность»;</w:t>
      </w:r>
    </w:p>
    <w:p w14:paraId="710E0541">
      <w:pPr>
        <w:pStyle w:val="76"/>
      </w:pPr>
      <w:r>
        <w:t>«Указание наименования неотраженных в листе назначения рекомендаций»;</w:t>
      </w:r>
    </w:p>
    <w:p w14:paraId="41EC7A96">
      <w:pPr>
        <w:pStyle w:val="76"/>
      </w:pPr>
      <w:r>
        <w:t>«Оценка полноты выполнения рекомендаций национального медицинского исследовательского центра»;</w:t>
      </w:r>
    </w:p>
    <w:p w14:paraId="28279C98">
      <w:pPr>
        <w:pStyle w:val="76"/>
      </w:pPr>
      <w:r>
        <w:t>«Рекомендации, по которым констатировано неисполнение/неполное исполнение»;</w:t>
      </w:r>
    </w:p>
    <w:p w14:paraId="12AF2D5E">
      <w:pPr>
        <w:pStyle w:val="76"/>
      </w:pPr>
      <w:r>
        <w:t>«Выводы по ЗС»;</w:t>
      </w:r>
    </w:p>
    <w:p w14:paraId="656C20D3">
      <w:pPr>
        <w:pStyle w:val="76"/>
      </w:pPr>
      <w:r>
        <w:t>«Рекомендации по ЗС»;</w:t>
      </w:r>
    </w:p>
    <w:p w14:paraId="003428E8">
      <w:pPr>
        <w:pStyle w:val="76"/>
      </w:pPr>
      <w:r>
        <w:t>«Способ сбора информации»;</w:t>
      </w:r>
    </w:p>
    <w:p w14:paraId="6C11EF1F">
      <w:pPr>
        <w:pStyle w:val="76"/>
      </w:pPr>
      <w:r>
        <w:t>«Наличие в медицинской документации рекомендаций медицинских работников национального медицинского исследовательского центра, данных при проведении консультаций/консилиумов с применением телемедицинских технологий»;</w:t>
      </w:r>
    </w:p>
    <w:p w14:paraId="070F63DD">
      <w:pPr>
        <w:pStyle w:val="76"/>
      </w:pPr>
      <w:r>
        <w:t>«Наличие факта отражения рекомендаций в медицинской документации, в том числе в листе назначения»;</w:t>
      </w:r>
    </w:p>
    <w:p w14:paraId="7476D0DA">
      <w:pPr>
        <w:pStyle w:val="76"/>
      </w:pPr>
      <w:r>
        <w:t>«Наличие в медицинской документации медицинских показаний, не позволяющих применить невнесенные в лист назначений рекомендации».</w:t>
      </w:r>
    </w:p>
    <w:p w14:paraId="0D37248C">
      <w:pPr>
        <w:pStyle w:val="69"/>
      </w:pPr>
      <w:r>
        <w:t xml:space="preserve">Чтобы скачать Заключение экспертизы, нажать на ссылку в столбце «Ссылка на файл». Пример Заключения приведен на рисунке </w:t>
      </w:r>
      <w:r>
        <w:fldChar w:fldCharType="begin"/>
      </w:r>
      <w:r>
        <w:instrText xml:space="preserve"> REF  _Ref206002958 \h \t\#\0    \* MERGEFORMAT </w:instrText>
      </w:r>
      <w:r>
        <w:fldChar w:fldCharType="separate"/>
      </w:r>
      <w:r>
        <w:t>124</w:t>
      </w:r>
      <w:r>
        <w:fldChar w:fldCharType="end"/>
      </w:r>
      <w:r>
        <w:t>.</w:t>
      </w:r>
    </w:p>
    <w:tbl>
      <w:tblPr>
        <w:tblStyle w:val="3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3"/>
      </w:tblGrid>
      <w:tr w14:paraId="7409D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00" w:type="pct"/>
          </w:tcPr>
          <w:p w14:paraId="1781D153">
            <w:pPr>
              <w:pStyle w:val="73"/>
            </w:pPr>
            <w:r>
              <w:drawing>
                <wp:inline distT="0" distB="0" distL="0" distR="0">
                  <wp:extent cx="5775325" cy="3133725"/>
                  <wp:effectExtent l="19050" t="19050" r="15875" b="9525"/>
                  <wp:docPr id="4972441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244127" name="Рисунок 1"/>
                          <pic:cNvPicPr>
                            <a:picLocks noChangeAspect="1"/>
                          </pic:cNvPicPr>
                        </pic:nvPicPr>
                        <pic:blipFill>
                          <a:blip r:embed="rId151"/>
                          <a:stretch>
                            <a:fillRect/>
                          </a:stretch>
                        </pic:blipFill>
                        <pic:spPr>
                          <a:xfrm>
                            <a:off x="0" y="0"/>
                            <a:ext cx="5794017" cy="3143813"/>
                          </a:xfrm>
                          <a:prstGeom prst="rect">
                            <a:avLst/>
                          </a:prstGeom>
                          <a:ln w="3175" cmpd="sng">
                            <a:solidFill>
                              <a:srgbClr val="000000"/>
                            </a:solidFill>
                          </a:ln>
                        </pic:spPr>
                      </pic:pic>
                    </a:graphicData>
                  </a:graphic>
                </wp:inline>
              </w:drawing>
            </w:r>
          </w:p>
          <w:p w14:paraId="6A48150C">
            <w:pPr>
              <w:pStyle w:val="73"/>
            </w:pPr>
            <w:r>
              <w:drawing>
                <wp:inline distT="0" distB="0" distL="0" distR="0">
                  <wp:extent cx="5963285" cy="1095375"/>
                  <wp:effectExtent l="19050" t="19050" r="18415" b="9525"/>
                  <wp:docPr id="100540879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408798" name="Рисунок 6"/>
                          <pic:cNvPicPr>
                            <a:picLocks noChangeAspect="1" noChangeArrowheads="1"/>
                          </pic:cNvPicPr>
                        </pic:nvPicPr>
                        <pic:blipFill>
                          <a:blip r:embed="rId152">
                            <a:extLst>
                              <a:ext uri="{28A0092B-C50C-407E-A947-70E740481C1C}">
                                <a14:useLocalDpi xmlns:a14="http://schemas.microsoft.com/office/drawing/2010/main" val="0"/>
                              </a:ext>
                            </a:extLst>
                          </a:blip>
                          <a:srcRect t="7812"/>
                          <a:stretch>
                            <a:fillRect/>
                          </a:stretch>
                        </pic:blipFill>
                        <pic:spPr>
                          <a:xfrm>
                            <a:off x="0" y="0"/>
                            <a:ext cx="6009500" cy="1103861"/>
                          </a:xfrm>
                          <a:prstGeom prst="rect">
                            <a:avLst/>
                          </a:prstGeom>
                          <a:noFill/>
                          <a:ln w="3175" cmpd="sng">
                            <a:solidFill>
                              <a:srgbClr val="000000"/>
                            </a:solidFill>
                          </a:ln>
                        </pic:spPr>
                      </pic:pic>
                    </a:graphicData>
                  </a:graphic>
                </wp:inline>
              </w:drawing>
            </w:r>
          </w:p>
          <w:p w14:paraId="6A5C5A87">
            <w:pPr>
              <w:pStyle w:val="73"/>
            </w:pPr>
            <w:r>
              <w:drawing>
                <wp:inline distT="0" distB="0" distL="0" distR="0">
                  <wp:extent cx="5808980" cy="3990975"/>
                  <wp:effectExtent l="19050" t="19050" r="20320" b="9525"/>
                  <wp:docPr id="207024102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241023" name="Рисунок 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5827324" cy="4003560"/>
                          </a:xfrm>
                          <a:prstGeom prst="rect">
                            <a:avLst/>
                          </a:prstGeom>
                          <a:noFill/>
                          <a:ln w="3175" cmpd="sng">
                            <a:solidFill>
                              <a:srgbClr val="000000"/>
                            </a:solidFill>
                          </a:ln>
                        </pic:spPr>
                      </pic:pic>
                    </a:graphicData>
                  </a:graphic>
                </wp:inline>
              </w:drawing>
            </w:r>
          </w:p>
        </w:tc>
      </w:tr>
      <w:bookmarkEnd w:id="2604"/>
    </w:tbl>
    <w:p w14:paraId="063AD18D">
      <w:pPr>
        <w:pStyle w:val="74"/>
      </w:pPr>
      <w:bookmarkStart w:id="2607" w:name="_Ref206002958"/>
      <w:r>
        <w:t xml:space="preserve">Рисунок </w:t>
      </w:r>
      <w:r>
        <w:fldChar w:fldCharType="begin"/>
      </w:r>
      <w:r>
        <w:instrText xml:space="preserve"> SEQ Рисунок \* ARABIC </w:instrText>
      </w:r>
      <w:r>
        <w:fldChar w:fldCharType="separate"/>
      </w:r>
      <w:r>
        <w:t>124</w:t>
      </w:r>
      <w:r>
        <w:fldChar w:fldCharType="end"/>
      </w:r>
      <w:bookmarkEnd w:id="2607"/>
      <w:r>
        <w:t xml:space="preserve"> — Пример Заключения по результатам МЭЭ</w:t>
      </w:r>
    </w:p>
    <w:p w14:paraId="07355915">
      <w:pPr>
        <w:pStyle w:val="58"/>
      </w:pPr>
      <w:bookmarkStart w:id="2608" w:name="_Ref163054523"/>
      <w:bookmarkStart w:id="2609" w:name="_Toc225866361"/>
      <w:r>
        <w:t>Проведение повторного МЭК</w:t>
      </w:r>
      <w:bookmarkEnd w:id="2608"/>
      <w:bookmarkEnd w:id="2609"/>
    </w:p>
    <w:p w14:paraId="73E3D792">
      <w:pPr>
        <w:pStyle w:val="69"/>
        <w:keepNext/>
      </w:pPr>
      <w:r>
        <w:t>Плательщику доступна функция проведения повторной процедуры медико-экономического контроля счета закрытого отчетного периода.</w:t>
      </w:r>
    </w:p>
    <w:p w14:paraId="44757174">
      <w:pPr>
        <w:pStyle w:val="69"/>
      </w:pPr>
      <w:r>
        <w:t>Результатом проведения повторного МЭК на закрытом отчетном периоде является разница отклоненных и принятых законченных случаев относительно результатов первичного МЭК, проведенного в отчетном периоде приема счетов МО — «дельта ЗС».</w:t>
      </w:r>
    </w:p>
    <w:p w14:paraId="412A7CD4">
      <w:pPr>
        <w:pStyle w:val="69"/>
      </w:pPr>
      <w:r>
        <w:t xml:space="preserve">Результаты повторного МЭК автоматически включаются в финальный ответ плательщика при его формировании в ближайший отчетный период относительно даты проведения повторного МЭК (см. </w:t>
      </w:r>
      <w:r>
        <w:fldChar w:fldCharType="begin"/>
      </w:r>
      <w:r>
        <w:instrText xml:space="preserve"> REF _Ref143801432 \n \h </w:instrText>
      </w:r>
      <w:r>
        <w:fldChar w:fldCharType="separate"/>
      </w:r>
      <w:r>
        <w:t>4.2.9</w:t>
      </w:r>
      <w:r>
        <w:fldChar w:fldCharType="end"/>
      </w:r>
      <w:r>
        <w:t>).</w:t>
      </w:r>
    </w:p>
    <w:p w14:paraId="688E3A5E">
      <w:pPr>
        <w:pStyle w:val="60"/>
      </w:pPr>
      <w:bookmarkStart w:id="2610" w:name="_Ref164953468"/>
      <w:bookmarkStart w:id="2611" w:name="_Toc225866362"/>
      <w:r>
        <w:t>Просмотр повторных МЭК</w:t>
      </w:r>
      <w:bookmarkEnd w:id="2610"/>
      <w:bookmarkEnd w:id="2611"/>
    </w:p>
    <w:p w14:paraId="5A498333">
      <w:pPr>
        <w:pStyle w:val="69"/>
      </w:pPr>
      <w:r>
        <w:t>Операция доступна пользователям с ролями:</w:t>
      </w:r>
    </w:p>
    <w:p w14:paraId="0201F408">
      <w:pPr>
        <w:pStyle w:val="76"/>
      </w:pPr>
      <w:r>
        <w:t>Плательщик ТФОМС;</w:t>
      </w:r>
    </w:p>
    <w:p w14:paraId="1FFB9A1F">
      <w:pPr>
        <w:pStyle w:val="76"/>
      </w:pPr>
      <w:r>
        <w:t>Куратор по СМО;</w:t>
      </w:r>
    </w:p>
    <w:p w14:paraId="1254481F">
      <w:pPr>
        <w:pStyle w:val="76"/>
      </w:pPr>
      <w:r>
        <w:t>Куратор по МО;</w:t>
      </w:r>
    </w:p>
    <w:p w14:paraId="465F81DC">
      <w:pPr>
        <w:pStyle w:val="76"/>
      </w:pPr>
      <w:r>
        <w:t>Администратор счетов субъекта.</w:t>
      </w:r>
    </w:p>
    <w:p w14:paraId="1653D852">
      <w:pPr>
        <w:pStyle w:val="69"/>
      </w:pPr>
      <w:r>
        <w:t>Просмотр сведений об инициированных и завершенных повторных МЭК осуществляется в разделе «Повторный МЭК».</w:t>
      </w:r>
    </w:p>
    <w:p w14:paraId="35016435">
      <w:pPr>
        <w:pStyle w:val="69"/>
      </w:pPr>
      <w:r>
        <w:t xml:space="preserve">Для перехода в раздел в ленте главного меню нажать кнопку «Все разделы» и в раскрывающемся меню выбрать пункт «Повторный МЭК» (рис. </w:t>
      </w:r>
      <w:r>
        <w:fldChar w:fldCharType="begin"/>
      </w:r>
      <w:r>
        <w:instrText xml:space="preserve"> REF  _Ref163054977 \h\#\0   \* MERGEFORMAT </w:instrText>
      </w:r>
      <w:r>
        <w:fldChar w:fldCharType="separate"/>
      </w:r>
      <w:r>
        <w:t>125</w:t>
      </w:r>
      <w:r>
        <w:fldChar w:fldCharType="end"/>
      </w:r>
      <w:r>
        <w:t xml:space="preserve">) </w:t>
      </w:r>
      <w:bookmarkStart w:id="2612" w:name="_Hlk205825007"/>
      <w:r>
        <w:t xml:space="preserve">или вкладку «Повторный МЭК» в ленте главного меню (рис. </w:t>
      </w:r>
      <w:r>
        <w:fldChar w:fldCharType="begin"/>
      </w:r>
      <w:r>
        <w:instrText xml:space="preserve"> REF  _Ref205799737 \h\#\0   \* MERGEFORMAT </w:instrText>
      </w:r>
      <w:r>
        <w:fldChar w:fldCharType="separate"/>
      </w:r>
      <w:r>
        <w:t>126</w:t>
      </w:r>
      <w:r>
        <w:fldChar w:fldCharType="end"/>
      </w:r>
      <w:r>
        <w:t>) для роли «Администратор счетов субъекта».</w:t>
      </w:r>
    </w:p>
    <w:bookmarkEnd w:id="2612"/>
    <w:p w14:paraId="55CFF5DD">
      <w:pPr>
        <w:pStyle w:val="73"/>
      </w:pPr>
      <w:r>
        <w:drawing>
          <wp:inline distT="0" distB="0" distL="0" distR="0">
            <wp:extent cx="5399405" cy="2692400"/>
            <wp:effectExtent l="19050" t="19050" r="10795" b="12700"/>
            <wp:docPr id="20700878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87894" name="Рисунок 1"/>
                    <pic:cNvPicPr>
                      <a:picLocks noChangeAspect="1"/>
                    </pic:cNvPicPr>
                  </pic:nvPicPr>
                  <pic:blipFill>
                    <a:blip r:embed="rId154"/>
                    <a:stretch>
                      <a:fillRect/>
                    </a:stretch>
                  </pic:blipFill>
                  <pic:spPr>
                    <a:xfrm>
                      <a:off x="0" y="0"/>
                      <a:ext cx="5400000" cy="2692996"/>
                    </a:xfrm>
                    <a:prstGeom prst="rect">
                      <a:avLst/>
                    </a:prstGeom>
                    <a:ln w="3175" cmpd="sng">
                      <a:solidFill>
                        <a:srgbClr val="000000"/>
                      </a:solidFill>
                    </a:ln>
                  </pic:spPr>
                </pic:pic>
              </a:graphicData>
            </a:graphic>
          </wp:inline>
        </w:drawing>
      </w:r>
    </w:p>
    <w:p w14:paraId="2B972DAE">
      <w:pPr>
        <w:pStyle w:val="74"/>
      </w:pPr>
      <w:bookmarkStart w:id="2613" w:name="_Ref163054977"/>
      <w:r>
        <w:t xml:space="preserve">Рисунок </w:t>
      </w:r>
      <w:r>
        <w:fldChar w:fldCharType="begin"/>
      </w:r>
      <w:r>
        <w:instrText xml:space="preserve"> SEQ Рисунок \* ARABIC </w:instrText>
      </w:r>
      <w:r>
        <w:fldChar w:fldCharType="separate"/>
      </w:r>
      <w:r>
        <w:t>125</w:t>
      </w:r>
      <w:r>
        <w:fldChar w:fldCharType="end"/>
      </w:r>
      <w:bookmarkEnd w:id="2613"/>
      <w:r>
        <w:t xml:space="preserve"> — Раскрывающееся меню «Все разделы». Переход в раздел «Повторный МЭК»</w:t>
      </w:r>
    </w:p>
    <w:p w14:paraId="3DC6ED61">
      <w:pPr>
        <w:pStyle w:val="73"/>
      </w:pPr>
      <w:r>
        <w:drawing>
          <wp:inline distT="0" distB="0" distL="0" distR="0">
            <wp:extent cx="6119495" cy="1928495"/>
            <wp:effectExtent l="19050" t="19050" r="14605" b="14605"/>
            <wp:docPr id="5319743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974365" name="Рисунок 1"/>
                    <pic:cNvPicPr>
                      <a:picLocks noChangeAspect="1"/>
                    </pic:cNvPicPr>
                  </pic:nvPicPr>
                  <pic:blipFill>
                    <a:blip r:embed="rId155"/>
                    <a:stretch>
                      <a:fillRect/>
                    </a:stretch>
                  </pic:blipFill>
                  <pic:spPr>
                    <a:xfrm>
                      <a:off x="0" y="0"/>
                      <a:ext cx="6119495" cy="1928495"/>
                    </a:xfrm>
                    <a:prstGeom prst="rect">
                      <a:avLst/>
                    </a:prstGeom>
                    <a:ln w="3175" cmpd="sng">
                      <a:solidFill>
                        <a:srgbClr val="000000"/>
                      </a:solidFill>
                    </a:ln>
                  </pic:spPr>
                </pic:pic>
              </a:graphicData>
            </a:graphic>
          </wp:inline>
        </w:drawing>
      </w:r>
    </w:p>
    <w:p w14:paraId="78E7F46F">
      <w:pPr>
        <w:pStyle w:val="74"/>
      </w:pPr>
      <w:bookmarkStart w:id="2614" w:name="_Ref205799737"/>
      <w:r>
        <w:t xml:space="preserve">Рисунок </w:t>
      </w:r>
      <w:r>
        <w:fldChar w:fldCharType="begin"/>
      </w:r>
      <w:r>
        <w:instrText xml:space="preserve"> SEQ Рисунок \* ARABIC </w:instrText>
      </w:r>
      <w:r>
        <w:fldChar w:fldCharType="separate"/>
      </w:r>
      <w:r>
        <w:t>126</w:t>
      </w:r>
      <w:r>
        <w:fldChar w:fldCharType="end"/>
      </w:r>
      <w:bookmarkEnd w:id="2614"/>
      <w:r>
        <w:t xml:space="preserve"> — Переход в раздел «Повторный МЭК» для роли «Администратор счетов субъекта»</w:t>
      </w:r>
    </w:p>
    <w:p w14:paraId="6D556E93">
      <w:pPr>
        <w:pStyle w:val="69"/>
      </w:pPr>
      <w:r>
        <w:t>В рабочей области отобразится раздел «Повторный МЭК», содержащий список созданных повторных МЭК (рис.</w:t>
      </w:r>
      <w:r>
        <w:rPr>
          <w:lang w:val="en-US"/>
        </w:rPr>
        <w:t> </w:t>
      </w:r>
      <w:r>
        <w:fldChar w:fldCharType="begin"/>
      </w:r>
      <w:r>
        <w:instrText xml:space="preserve"> REF  _Ref163054951 \h\#\0   \* MERGEFORMAT </w:instrText>
      </w:r>
      <w:r>
        <w:fldChar w:fldCharType="separate"/>
      </w:r>
      <w:r>
        <w:t>127</w:t>
      </w:r>
      <w:r>
        <w:fldChar w:fldCharType="end"/>
      </w:r>
      <w:r>
        <w:t>). В поле «Найдено» отображается общее количество записей.</w:t>
      </w:r>
    </w:p>
    <w:p w14:paraId="37C05E31">
      <w:pPr>
        <w:pStyle w:val="73"/>
      </w:pPr>
      <w:r>
        <w:drawing>
          <wp:inline distT="0" distB="0" distL="0" distR="0">
            <wp:extent cx="6119495" cy="1884045"/>
            <wp:effectExtent l="19050" t="19050" r="14605" b="20955"/>
            <wp:docPr id="8679544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954409" name="Рисунок 1"/>
                    <pic:cNvPicPr>
                      <a:picLocks noChangeAspect="1"/>
                    </pic:cNvPicPr>
                  </pic:nvPicPr>
                  <pic:blipFill>
                    <a:blip r:embed="rId156"/>
                    <a:stretch>
                      <a:fillRect/>
                    </a:stretch>
                  </pic:blipFill>
                  <pic:spPr>
                    <a:xfrm>
                      <a:off x="0" y="0"/>
                      <a:ext cx="6119495" cy="1884045"/>
                    </a:xfrm>
                    <a:prstGeom prst="rect">
                      <a:avLst/>
                    </a:prstGeom>
                    <a:ln w="3175" cmpd="sng">
                      <a:solidFill>
                        <a:srgbClr val="000000"/>
                      </a:solidFill>
                    </a:ln>
                  </pic:spPr>
                </pic:pic>
              </a:graphicData>
            </a:graphic>
          </wp:inline>
        </w:drawing>
      </w:r>
    </w:p>
    <w:p w14:paraId="017FF777">
      <w:pPr>
        <w:pStyle w:val="74"/>
      </w:pPr>
      <w:bookmarkStart w:id="2615" w:name="_Ref163054951"/>
      <w:r>
        <w:t xml:space="preserve">Рисунок </w:t>
      </w:r>
      <w:r>
        <w:fldChar w:fldCharType="begin"/>
      </w:r>
      <w:r>
        <w:instrText xml:space="preserve"> SEQ Рисунок \* ARABIC </w:instrText>
      </w:r>
      <w:r>
        <w:fldChar w:fldCharType="separate"/>
      </w:r>
      <w:r>
        <w:t>127</w:t>
      </w:r>
      <w:r>
        <w:fldChar w:fldCharType="end"/>
      </w:r>
      <w:bookmarkEnd w:id="2615"/>
      <w:r>
        <w:t xml:space="preserve"> — Раздел «Повторный МЭК»</w:t>
      </w:r>
    </w:p>
    <w:p w14:paraId="6CA80F68">
      <w:pPr>
        <w:pStyle w:val="69"/>
      </w:pPr>
      <w:r>
        <w:t>Табличная часть содержит следующие столбцы с общей информацией:</w:t>
      </w:r>
    </w:p>
    <w:p w14:paraId="296AEECA">
      <w:pPr>
        <w:pStyle w:val="76"/>
      </w:pPr>
      <w:bookmarkStart w:id="2616" w:name="_Hlk205572788"/>
      <w:r>
        <w:t>«№ п/п» — порядковый номер;</w:t>
      </w:r>
    </w:p>
    <w:p w14:paraId="06640C66">
      <w:pPr>
        <w:pStyle w:val="76"/>
      </w:pPr>
      <w:r>
        <w:t>«Отчетный период»;</w:t>
      </w:r>
    </w:p>
    <w:p w14:paraId="473C4772">
      <w:pPr>
        <w:pStyle w:val="76"/>
      </w:pPr>
      <w:r>
        <w:t xml:space="preserve">«ТПГГ и ПГГ» — код МО в системе ОМС. </w:t>
      </w:r>
      <w:bookmarkStart w:id="2617" w:name="_Hlk205825077"/>
      <w:r>
        <w:t>При наведении указателя на код отображается краткое наименование МО</w:t>
      </w:r>
      <w:bookmarkEnd w:id="2617"/>
      <w:r>
        <w:t>;</w:t>
      </w:r>
    </w:p>
    <w:p w14:paraId="6E8DC890">
      <w:pPr>
        <w:pStyle w:val="76"/>
      </w:pPr>
      <w:r>
        <w:t>«Плательщик» — код плательщика в системе ОМС. При наведении указателя на код отображается краткое наименование плательщика;</w:t>
      </w:r>
    </w:p>
    <w:p w14:paraId="1760D43D">
      <w:pPr>
        <w:pStyle w:val="76"/>
      </w:pPr>
      <w:bookmarkStart w:id="2618" w:name="_Hlk205825094"/>
      <w:r>
        <w:t xml:space="preserve">«Тип счета» — смотри </w:t>
      </w:r>
      <w:r>
        <w:fldChar w:fldCharType="begin"/>
      </w:r>
      <w:r>
        <w:instrText xml:space="preserve"> REF _Ref225767831 \n \h </w:instrText>
      </w:r>
      <w:r>
        <w:fldChar w:fldCharType="separate"/>
      </w:r>
      <w:r>
        <w:t>Приложение Б</w:t>
      </w:r>
      <w:r>
        <w:fldChar w:fldCharType="end"/>
      </w:r>
      <w:r>
        <w:t>;</w:t>
      </w:r>
    </w:p>
    <w:bookmarkEnd w:id="2618"/>
    <w:p w14:paraId="50542895">
      <w:pPr>
        <w:pStyle w:val="76"/>
      </w:pPr>
      <w:r>
        <w:t>«Вид повторного МЭК» — отображается код вида контроля. При наведении указателя на код отображается наименование вида контроля по справочнику F006;</w:t>
      </w:r>
    </w:p>
    <w:bookmarkEnd w:id="2616"/>
    <w:p w14:paraId="47A5C81A">
      <w:pPr>
        <w:pStyle w:val="76"/>
      </w:pPr>
      <w:r>
        <w:t>«Дата создания»;</w:t>
      </w:r>
    </w:p>
    <w:p w14:paraId="3DFA5D78">
      <w:pPr>
        <w:pStyle w:val="76"/>
      </w:pPr>
      <w:r>
        <w:t xml:space="preserve">«Статус» — текущее состояние записи о повторном МЭК. Описание возможных статусов приведено в таблице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163055139 \</w:instrText>
      </w:r>
      <w:r>
        <w:rPr>
          <w:lang w:val="en-US"/>
        </w:rPr>
        <w:instrText xml:space="preserve">h</w:instrText>
      </w:r>
      <w:r>
        <w:instrText xml:space="preserve">\#\0  </w:instrText>
      </w:r>
      <w:r>
        <w:rPr>
          <w:lang w:val="en-US"/>
        </w:rPr>
        <w:fldChar w:fldCharType="separate"/>
      </w:r>
      <w:r>
        <w:t>6</w:t>
      </w:r>
      <w:r>
        <w:rPr>
          <w:lang w:val="en-US"/>
        </w:rPr>
        <w:fldChar w:fldCharType="end"/>
      </w:r>
      <w:r>
        <w:t>;</w:t>
      </w:r>
    </w:p>
    <w:p w14:paraId="48E09E22">
      <w:pPr>
        <w:pStyle w:val="76"/>
      </w:pPr>
      <w:r>
        <w:t>«Дата изменения статуса».</w:t>
      </w:r>
    </w:p>
    <w:p w14:paraId="746CEBE1">
      <w:pPr>
        <w:pStyle w:val="84"/>
      </w:pPr>
      <w:bookmarkStart w:id="2619" w:name="_Ref163055139"/>
      <w:r>
        <w:rPr>
          <w:rStyle w:val="72"/>
        </w:rPr>
        <w:t>Таблица</w:t>
      </w:r>
      <w:r>
        <w:t xml:space="preserve"> </w:t>
      </w:r>
      <w:r>
        <w:fldChar w:fldCharType="begin"/>
      </w:r>
      <w:r>
        <w:instrText xml:space="preserve"> SEQ Таблица \* ARABIC </w:instrText>
      </w:r>
      <w:r>
        <w:fldChar w:fldCharType="separate"/>
      </w:r>
      <w:r>
        <w:t>6</w:t>
      </w:r>
      <w:r>
        <w:fldChar w:fldCharType="end"/>
      </w:r>
      <w:bookmarkEnd w:id="2619"/>
      <w:r>
        <w:t xml:space="preserve"> — Статусы повторных МЭК</w:t>
      </w:r>
    </w:p>
    <w:tbl>
      <w:tblPr>
        <w:tblStyle w:val="3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2"/>
        <w:gridCol w:w="7821"/>
      </w:tblGrid>
      <w:tr w14:paraId="47358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1031" w:type="pct"/>
            <w:tcBorders>
              <w:bottom w:val="double" w:color="auto" w:sz="4" w:space="0"/>
            </w:tcBorders>
            <w:vAlign w:val="center"/>
          </w:tcPr>
          <w:p w14:paraId="11A21F7C">
            <w:pPr>
              <w:pStyle w:val="79"/>
            </w:pPr>
            <w:r>
              <w:t>Статус</w:t>
            </w:r>
          </w:p>
        </w:tc>
        <w:tc>
          <w:tcPr>
            <w:tcW w:w="3969" w:type="pct"/>
            <w:tcBorders>
              <w:bottom w:val="double" w:color="auto" w:sz="4" w:space="0"/>
            </w:tcBorders>
            <w:vAlign w:val="center"/>
          </w:tcPr>
          <w:p w14:paraId="139E9E8F">
            <w:pPr>
              <w:pStyle w:val="79"/>
            </w:pPr>
            <w:r>
              <w:t>Описание</w:t>
            </w:r>
          </w:p>
        </w:tc>
      </w:tr>
      <w:tr w14:paraId="463CD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31" w:type="pct"/>
            <w:tcBorders>
              <w:top w:val="double" w:color="auto" w:sz="4" w:space="0"/>
            </w:tcBorders>
          </w:tcPr>
          <w:p w14:paraId="6B291750">
            <w:pPr>
              <w:pStyle w:val="80"/>
            </w:pPr>
            <w:r>
              <w:t>Черновик</w:t>
            </w:r>
          </w:p>
        </w:tc>
        <w:tc>
          <w:tcPr>
            <w:tcW w:w="3969" w:type="pct"/>
            <w:tcBorders>
              <w:top w:val="double" w:color="auto" w:sz="4" w:space="0"/>
            </w:tcBorders>
          </w:tcPr>
          <w:p w14:paraId="227038B9">
            <w:pPr>
              <w:pStyle w:val="80"/>
            </w:pPr>
            <w:r>
              <w:t>Начальное состояние. Создана запись о повторном МЭК</w:t>
            </w:r>
          </w:p>
        </w:tc>
      </w:tr>
      <w:tr w14:paraId="1C262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31" w:type="pct"/>
          </w:tcPr>
          <w:p w14:paraId="2629AA0A">
            <w:pPr>
              <w:pStyle w:val="80"/>
            </w:pPr>
            <w:r>
              <w:t>Формирование</w:t>
            </w:r>
          </w:p>
        </w:tc>
        <w:tc>
          <w:tcPr>
            <w:tcW w:w="3969" w:type="pct"/>
          </w:tcPr>
          <w:p w14:paraId="276D0359">
            <w:pPr>
              <w:pStyle w:val="80"/>
            </w:pPr>
            <w:r>
              <w:t>Запущена автоматическая проверка счета по МЭК. Процесс идентичен реализованному первичному МЭК</w:t>
            </w:r>
          </w:p>
        </w:tc>
      </w:tr>
      <w:tr w14:paraId="63C68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31" w:type="pct"/>
          </w:tcPr>
          <w:p w14:paraId="7F7D4315">
            <w:pPr>
              <w:pStyle w:val="80"/>
            </w:pPr>
            <w:r>
              <w:t>Ошибка формирования</w:t>
            </w:r>
          </w:p>
        </w:tc>
        <w:tc>
          <w:tcPr>
            <w:tcW w:w="3969" w:type="pct"/>
          </w:tcPr>
          <w:p w14:paraId="03836BAD">
            <w:pPr>
              <w:pStyle w:val="80"/>
            </w:pPr>
            <w:r>
              <w:t>Проверка счета завершилось ошибкой</w:t>
            </w:r>
          </w:p>
        </w:tc>
      </w:tr>
      <w:tr w14:paraId="7BBEE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31" w:type="pct"/>
          </w:tcPr>
          <w:p w14:paraId="522ED7E4">
            <w:pPr>
              <w:pStyle w:val="80"/>
            </w:pPr>
            <w:r>
              <w:t>Сформирован</w:t>
            </w:r>
          </w:p>
        </w:tc>
        <w:tc>
          <w:tcPr>
            <w:tcW w:w="3969" w:type="pct"/>
          </w:tcPr>
          <w:p w14:paraId="6A1D291B">
            <w:pPr>
              <w:pStyle w:val="80"/>
            </w:pPr>
            <w:r>
              <w:t>Автоматическая проверка завершена, сформирована разница между предыдущим и текущим МЭК — «данные дельты»</w:t>
            </w:r>
          </w:p>
        </w:tc>
      </w:tr>
      <w:tr w14:paraId="0FE5D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31" w:type="pct"/>
          </w:tcPr>
          <w:p w14:paraId="6550C75B">
            <w:pPr>
              <w:pStyle w:val="80"/>
            </w:pPr>
            <w:r>
              <w:t>Сброшен</w:t>
            </w:r>
          </w:p>
        </w:tc>
        <w:tc>
          <w:tcPr>
            <w:tcW w:w="3969" w:type="pct"/>
          </w:tcPr>
          <w:p w14:paraId="66FCEB90">
            <w:pPr>
              <w:pStyle w:val="80"/>
            </w:pPr>
            <w:r>
              <w:t>Промежуточное состояние перед повторным запуском автоматической проверки в рамках той же записи о повторном МЭК. Данные предыдущего формирования, включая сформированные документы удаляются</w:t>
            </w:r>
          </w:p>
        </w:tc>
      </w:tr>
      <w:tr w14:paraId="3BF17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31" w:type="pct"/>
          </w:tcPr>
          <w:p w14:paraId="7F693269">
            <w:pPr>
              <w:pStyle w:val="80"/>
            </w:pPr>
            <w:r>
              <w:t>Отменен</w:t>
            </w:r>
          </w:p>
        </w:tc>
        <w:tc>
          <w:tcPr>
            <w:tcW w:w="3969" w:type="pct"/>
          </w:tcPr>
          <w:p w14:paraId="01BFF39D">
            <w:pPr>
              <w:pStyle w:val="80"/>
            </w:pPr>
            <w:r>
              <w:t>Финальное состояние для неопубликованного повторного МЭК, если принято решение не публиковать его результаты</w:t>
            </w:r>
          </w:p>
        </w:tc>
      </w:tr>
      <w:tr w14:paraId="2BF48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31" w:type="pct"/>
          </w:tcPr>
          <w:p w14:paraId="3AA65467">
            <w:pPr>
              <w:pStyle w:val="80"/>
            </w:pPr>
            <w:r>
              <w:t>Опубликован</w:t>
            </w:r>
          </w:p>
        </w:tc>
        <w:tc>
          <w:tcPr>
            <w:tcW w:w="3969" w:type="pct"/>
          </w:tcPr>
          <w:p w14:paraId="1A00CE3C">
            <w:pPr>
              <w:pStyle w:val="80"/>
            </w:pPr>
            <w:r>
              <w:t>Результаты повторного МЭК опубликованы для МО</w:t>
            </w:r>
          </w:p>
        </w:tc>
      </w:tr>
      <w:tr w14:paraId="7CFC5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31" w:type="pct"/>
          </w:tcPr>
          <w:p w14:paraId="5FD0D045">
            <w:pPr>
              <w:pStyle w:val="80"/>
            </w:pPr>
            <w:r>
              <w:t>Закрыт</w:t>
            </w:r>
          </w:p>
        </w:tc>
        <w:tc>
          <w:tcPr>
            <w:tcW w:w="3969" w:type="pct"/>
          </w:tcPr>
          <w:p w14:paraId="68D2E086">
            <w:pPr>
              <w:pStyle w:val="80"/>
            </w:pPr>
            <w:r>
              <w:t>Результаты учтены</w:t>
            </w:r>
          </w:p>
        </w:tc>
      </w:tr>
    </w:tbl>
    <w:p w14:paraId="2B82A2F2">
      <w:pPr>
        <w:pStyle w:val="69"/>
      </w:pPr>
    </w:p>
    <w:p w14:paraId="377A35DE">
      <w:pPr>
        <w:pStyle w:val="69"/>
      </w:pPr>
      <w:bookmarkStart w:id="2620" w:name="_Hlk163212606"/>
      <w:r>
        <w:t xml:space="preserve">Для поиска повторного МЭК необходимо в блоке «Фильтр» (рис. </w:t>
      </w:r>
      <w:r>
        <w:fldChar w:fldCharType="begin"/>
      </w:r>
      <w:r>
        <w:instrText xml:space="preserve"> REF  _Ref163054922 \h\#\0   \* MERGEFORMAT </w:instrText>
      </w:r>
      <w:r>
        <w:fldChar w:fldCharType="separate"/>
      </w:r>
      <w:r>
        <w:t>128</w:t>
      </w:r>
      <w:r>
        <w:fldChar w:fldCharType="end"/>
      </w:r>
      <w:r>
        <w:t>) задать параметры поиска:</w:t>
      </w:r>
    </w:p>
    <w:p w14:paraId="77247669">
      <w:pPr>
        <w:pStyle w:val="76"/>
      </w:pPr>
      <w:r>
        <w:t>указать в блоке «Дельта» отчетный период и вид контроля;</w:t>
      </w:r>
    </w:p>
    <w:p w14:paraId="3CA161B6">
      <w:pPr>
        <w:pStyle w:val="76"/>
      </w:pPr>
      <w:r>
        <w:t>или указать в блоке «Фильтры МО» медицинскую организацию.</w:t>
      </w:r>
    </w:p>
    <w:p w14:paraId="62E840BD">
      <w:pPr>
        <w:pStyle w:val="69"/>
      </w:pPr>
      <w:bookmarkStart w:id="2621" w:name="_Hlk205572980"/>
      <w:r>
        <w:t>Для поиска повторного МЭК по видам контроля раскрыть справочник в поле «Вид контроля» и выбрать одно из значений:</w:t>
      </w:r>
    </w:p>
    <w:p w14:paraId="0308769E">
      <w:pPr>
        <w:pStyle w:val="76"/>
      </w:pPr>
      <w:r>
        <w:t>10 — Повторный медико-экономический контроль в плановом порядке;</w:t>
      </w:r>
    </w:p>
    <w:p w14:paraId="76BB4AB6">
      <w:pPr>
        <w:pStyle w:val="76"/>
      </w:pPr>
      <w:r>
        <w:t>11 — Повторный медико-экономический контроль по претензиям МО;</w:t>
      </w:r>
    </w:p>
    <w:p w14:paraId="0A2E149F">
      <w:pPr>
        <w:pStyle w:val="76"/>
      </w:pPr>
      <w:r>
        <w:t>12 — Повторный медико-экономический контроль по другим причинам.</w:t>
      </w:r>
    </w:p>
    <w:p w14:paraId="44FC2639">
      <w:pPr>
        <w:pStyle w:val="69"/>
      </w:pPr>
      <w:r>
        <w:t>Нажать кнопку «Найти».</w:t>
      </w:r>
    </w:p>
    <w:bookmarkEnd w:id="2620"/>
    <w:bookmarkEnd w:id="2621"/>
    <w:p w14:paraId="7BA2731F">
      <w:pPr>
        <w:pStyle w:val="73"/>
      </w:pPr>
      <w:r>
        <w:drawing>
          <wp:inline distT="0" distB="0" distL="0" distR="0">
            <wp:extent cx="1799590" cy="3026410"/>
            <wp:effectExtent l="19050" t="19050" r="10160" b="21590"/>
            <wp:docPr id="829884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8419" name="Рисунок 1"/>
                    <pic:cNvPicPr>
                      <a:picLocks noChangeAspect="1"/>
                    </pic:cNvPicPr>
                  </pic:nvPicPr>
                  <pic:blipFill>
                    <a:blip r:embed="rId157"/>
                    <a:stretch>
                      <a:fillRect/>
                    </a:stretch>
                  </pic:blipFill>
                  <pic:spPr>
                    <a:xfrm>
                      <a:off x="0" y="0"/>
                      <a:ext cx="1800000" cy="3026641"/>
                    </a:xfrm>
                    <a:prstGeom prst="rect">
                      <a:avLst/>
                    </a:prstGeom>
                    <a:ln w="3175" cmpd="sng">
                      <a:solidFill>
                        <a:srgbClr val="000000"/>
                      </a:solidFill>
                    </a:ln>
                  </pic:spPr>
                </pic:pic>
              </a:graphicData>
            </a:graphic>
          </wp:inline>
        </w:drawing>
      </w:r>
    </w:p>
    <w:p w14:paraId="09E03D78">
      <w:pPr>
        <w:pStyle w:val="74"/>
      </w:pPr>
      <w:bookmarkStart w:id="2622" w:name="_Ref163054922"/>
      <w:r>
        <w:t xml:space="preserve">Рисунок </w:t>
      </w:r>
      <w:r>
        <w:fldChar w:fldCharType="begin"/>
      </w:r>
      <w:r>
        <w:instrText xml:space="preserve"> SEQ Рисунок \* ARABIC </w:instrText>
      </w:r>
      <w:r>
        <w:fldChar w:fldCharType="separate"/>
      </w:r>
      <w:r>
        <w:t>128</w:t>
      </w:r>
      <w:r>
        <w:fldChar w:fldCharType="end"/>
      </w:r>
      <w:bookmarkEnd w:id="2622"/>
      <w:r>
        <w:t xml:space="preserve"> — Блок «Фильтр». Поиск повторного МЭК</w:t>
      </w:r>
    </w:p>
    <w:p w14:paraId="29C014DC">
      <w:pPr>
        <w:pStyle w:val="69"/>
      </w:pPr>
      <w:r>
        <w:t>После нажатия кнопки «Найти» в разделе «Повторный МЭК» отобразятся записи, удовлетворяющие параметрам поиска.</w:t>
      </w:r>
    </w:p>
    <w:p w14:paraId="699DF7E8">
      <w:pPr>
        <w:pStyle w:val="69"/>
      </w:pPr>
      <w:r>
        <w:t>Для просмотра результатов повторного МЭК перейти в карточку повторного МЭК, дважды нажав на строку записи.</w:t>
      </w:r>
    </w:p>
    <w:p w14:paraId="0663B8BA">
      <w:pPr>
        <w:pStyle w:val="69"/>
      </w:pPr>
      <w:r>
        <w:t>Карточка «Повторный МЭК» содержит следующие блоки:</w:t>
      </w:r>
    </w:p>
    <w:p w14:paraId="522D7EF7">
      <w:pPr>
        <w:pStyle w:val="76"/>
      </w:pPr>
      <w:r>
        <w:t>информационная строка и управляющие элементы (только для роли Администратор счетов субъекта);</w:t>
      </w:r>
    </w:p>
    <w:p w14:paraId="6C64FEA3">
      <w:pPr>
        <w:pStyle w:val="76"/>
      </w:pPr>
      <w:r>
        <w:t>«Общая информация»;</w:t>
      </w:r>
    </w:p>
    <w:p w14:paraId="7989A999">
      <w:pPr>
        <w:pStyle w:val="76"/>
      </w:pPr>
      <w:r>
        <w:t>«Дельта»;</w:t>
      </w:r>
    </w:p>
    <w:p w14:paraId="313C527C">
      <w:pPr>
        <w:pStyle w:val="76"/>
      </w:pPr>
      <w:r>
        <w:t>«Отчетные документы».</w:t>
      </w:r>
    </w:p>
    <w:p w14:paraId="4D11C135">
      <w:pPr>
        <w:pStyle w:val="69"/>
      </w:pPr>
      <w:r>
        <w:t xml:space="preserve">Текущее состояние (статус) отображается над информационной строкой. Пример карточки повторного МЭК в статусе «Опубликован» приведен на рисунке </w:t>
      </w:r>
      <w:r>
        <w:fldChar w:fldCharType="begin"/>
      </w:r>
      <w:r>
        <w:instrText xml:space="preserve"> REF  _Ref163055040 \h\#\0   \* MERGEFORMAT </w:instrText>
      </w:r>
      <w:r>
        <w:fldChar w:fldCharType="separate"/>
      </w:r>
      <w:r>
        <w:t>129</w:t>
      </w:r>
      <w:r>
        <w:fldChar w:fldCharType="end"/>
      </w:r>
      <w:r>
        <w:t>.</w:t>
      </w:r>
    </w:p>
    <w:p w14:paraId="2F9E2A40">
      <w:pPr>
        <w:pStyle w:val="73"/>
      </w:pPr>
      <w:r>
        <w:drawing>
          <wp:inline distT="0" distB="0" distL="0" distR="0">
            <wp:extent cx="5940425" cy="2715895"/>
            <wp:effectExtent l="19050" t="19050" r="22225" b="27305"/>
            <wp:docPr id="16455089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508945" name="Рисунок 1"/>
                    <pic:cNvPicPr>
                      <a:picLocks noChangeAspect="1"/>
                    </pic:cNvPicPr>
                  </pic:nvPicPr>
                  <pic:blipFill>
                    <a:blip r:embed="rId158"/>
                    <a:stretch>
                      <a:fillRect/>
                    </a:stretch>
                  </pic:blipFill>
                  <pic:spPr>
                    <a:xfrm>
                      <a:off x="0" y="0"/>
                      <a:ext cx="5940425" cy="2715895"/>
                    </a:xfrm>
                    <a:prstGeom prst="rect">
                      <a:avLst/>
                    </a:prstGeom>
                    <a:ln w="3175" cmpd="sng">
                      <a:solidFill>
                        <a:srgbClr val="000000"/>
                      </a:solidFill>
                    </a:ln>
                  </pic:spPr>
                </pic:pic>
              </a:graphicData>
            </a:graphic>
          </wp:inline>
        </w:drawing>
      </w:r>
    </w:p>
    <w:p w14:paraId="7E239156">
      <w:pPr>
        <w:pStyle w:val="74"/>
      </w:pPr>
      <w:bookmarkStart w:id="2623" w:name="_Ref163055040"/>
      <w:r>
        <w:t xml:space="preserve">Рисунок </w:t>
      </w:r>
      <w:r>
        <w:fldChar w:fldCharType="begin"/>
      </w:r>
      <w:r>
        <w:instrText xml:space="preserve"> SEQ Рисунок \* ARABIC </w:instrText>
      </w:r>
      <w:r>
        <w:fldChar w:fldCharType="separate"/>
      </w:r>
      <w:r>
        <w:t>129</w:t>
      </w:r>
      <w:r>
        <w:fldChar w:fldCharType="end"/>
      </w:r>
      <w:bookmarkEnd w:id="2623"/>
      <w:r>
        <w:t xml:space="preserve"> — Просмотр результатов повторного МЭК</w:t>
      </w:r>
    </w:p>
    <w:p w14:paraId="46D306B0">
      <w:pPr>
        <w:pStyle w:val="69"/>
      </w:pPr>
      <w:bookmarkStart w:id="2624" w:name="_Hlk202195206"/>
      <w:r>
        <w:t xml:space="preserve">Для выхода из открытого повторного МЭК и возврата в список нажать кнопку </w:t>
      </w:r>
      <w:r>
        <w:drawing>
          <wp:inline distT="0" distB="0" distL="0" distR="0">
            <wp:extent cx="179705" cy="179705"/>
            <wp:effectExtent l="19050" t="19050" r="10795" b="10795"/>
            <wp:docPr id="11449783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78389" name="Рисунок 1"/>
                    <pic:cNvPicPr>
                      <a:picLocks noChangeAspect="1"/>
                    </pic:cNvPicPr>
                  </pic:nvPicPr>
                  <pic:blipFill>
                    <a:blip r:embed="rId159"/>
                    <a:stretch>
                      <a:fillRect/>
                    </a:stretch>
                  </pic:blipFill>
                  <pic:spPr>
                    <a:xfrm>
                      <a:off x="0" y="0"/>
                      <a:ext cx="180000" cy="180000"/>
                    </a:xfrm>
                    <a:prstGeom prst="rect">
                      <a:avLst/>
                    </a:prstGeom>
                    <a:ln w="3175" cmpd="sng">
                      <a:solidFill>
                        <a:srgbClr val="000000"/>
                      </a:solidFill>
                    </a:ln>
                  </pic:spPr>
                </pic:pic>
              </a:graphicData>
            </a:graphic>
          </wp:inline>
        </w:drawing>
      </w:r>
      <w:r>
        <w:t xml:space="preserve"> слева.</w:t>
      </w:r>
    </w:p>
    <w:bookmarkEnd w:id="2624"/>
    <w:p w14:paraId="28B46FF2">
      <w:pPr>
        <w:pStyle w:val="69"/>
      </w:pPr>
      <w:r>
        <w:t>В информационной строке отображается следующая информация:</w:t>
      </w:r>
    </w:p>
    <w:p w14:paraId="2D3760DF">
      <w:pPr>
        <w:pStyle w:val="76"/>
      </w:pPr>
      <w:r>
        <w:t>наименование формы — «Повторный МЭК»;</w:t>
      </w:r>
    </w:p>
    <w:p w14:paraId="408C0934">
      <w:pPr>
        <w:pStyle w:val="76"/>
      </w:pPr>
      <w:r>
        <w:t>номер повторного МЭК;</w:t>
      </w:r>
    </w:p>
    <w:p w14:paraId="5749E096">
      <w:pPr>
        <w:pStyle w:val="76"/>
      </w:pPr>
      <w:r>
        <w:t>дата создания повторного МЭК.</w:t>
      </w:r>
    </w:p>
    <w:p w14:paraId="4314FB0F">
      <w:pPr>
        <w:pStyle w:val="69"/>
      </w:pPr>
      <w:r>
        <w:t xml:space="preserve">Блок «Общая информация» (рис. </w:t>
      </w:r>
      <w:r>
        <w:fldChar w:fldCharType="begin"/>
      </w:r>
      <w:r>
        <w:instrText xml:space="preserve"> REF  _Ref163575168 \h\#\0   \* MERGEFORMAT </w:instrText>
      </w:r>
      <w:r>
        <w:fldChar w:fldCharType="separate"/>
      </w:r>
      <w:r>
        <w:t>130</w:t>
      </w:r>
      <w:r>
        <w:fldChar w:fldCharType="end"/>
      </w:r>
      <w:r>
        <w:t>) содержит следующие данные:</w:t>
      </w:r>
    </w:p>
    <w:p w14:paraId="12635E69">
      <w:pPr>
        <w:pStyle w:val="76"/>
      </w:pPr>
      <w:bookmarkStart w:id="2625" w:name="_Hlk205573240"/>
      <w:r>
        <w:t>«Вид повторного МЭК» — код вида контроля и наименование вида контроля по справочнику F006;</w:t>
      </w:r>
    </w:p>
    <w:p w14:paraId="0929995F">
      <w:pPr>
        <w:pStyle w:val="76"/>
      </w:pPr>
      <w:r>
        <w:t xml:space="preserve">«Отчетный период» — </w:t>
      </w:r>
      <w:bookmarkStart w:id="2626" w:name="_Hlk202191050"/>
      <w:r>
        <w:t>месяц и год отчетного периода в формате ММ.ГГГГ</w:t>
      </w:r>
      <w:bookmarkEnd w:id="2626"/>
      <w:r>
        <w:t>;</w:t>
      </w:r>
    </w:p>
    <w:p w14:paraId="1BED7FF8">
      <w:pPr>
        <w:pStyle w:val="76"/>
      </w:pPr>
      <w:r>
        <w:t xml:space="preserve">«ТПГГ и ПГГ» — </w:t>
      </w:r>
      <w:bookmarkStart w:id="2627" w:name="_Hlk202191041"/>
      <w:r>
        <w:t xml:space="preserve">код и краткое наименование медицинской организации согласно справочнику </w:t>
      </w:r>
      <w:r>
        <w:rPr>
          <w:lang w:val="en-US"/>
        </w:rPr>
        <w:t>F</w:t>
      </w:r>
      <w:r>
        <w:t>032</w:t>
      </w:r>
      <w:bookmarkEnd w:id="2627"/>
      <w:r>
        <w:t>;</w:t>
      </w:r>
    </w:p>
    <w:p w14:paraId="6E45B70C">
      <w:pPr>
        <w:pStyle w:val="76"/>
      </w:pPr>
      <w:r>
        <w:t xml:space="preserve">«Плательщик» — </w:t>
      </w:r>
      <w:bookmarkStart w:id="2628" w:name="_Hlk202191069"/>
      <w:r>
        <w:t xml:space="preserve">код плательщика и краткое наименование плательщика (ТФОМС/СМО) </w:t>
      </w:r>
      <w:r>
        <w:rPr>
          <w:lang w:val="en-US"/>
        </w:rPr>
        <w:t>F</w:t>
      </w:r>
      <w:r>
        <w:t>002</w:t>
      </w:r>
      <w:bookmarkEnd w:id="2628"/>
      <w:r>
        <w:t>;</w:t>
      </w:r>
    </w:p>
    <w:p w14:paraId="01531840">
      <w:pPr>
        <w:pStyle w:val="76"/>
      </w:pPr>
      <w:r>
        <w:t xml:space="preserve">«Тип счета» — смотри </w:t>
      </w:r>
      <w:r>
        <w:fldChar w:fldCharType="begin"/>
      </w:r>
      <w:r>
        <w:instrText xml:space="preserve"> REF _Ref225767831 \n \h </w:instrText>
      </w:r>
      <w:r>
        <w:fldChar w:fldCharType="separate"/>
      </w:r>
      <w:r>
        <w:t>Приложение Б</w:t>
      </w:r>
      <w:r>
        <w:fldChar w:fldCharType="end"/>
      </w:r>
      <w:r>
        <w:t>.</w:t>
      </w:r>
    </w:p>
    <w:bookmarkEnd w:id="2625"/>
    <w:p w14:paraId="6BD609D7">
      <w:pPr>
        <w:pStyle w:val="69"/>
        <w:keepNext/>
      </w:pPr>
      <w:bookmarkStart w:id="2629" w:name="_Hlk202191130"/>
      <w:r>
        <w:t xml:space="preserve">Блок «Общая информация» (рис. </w:t>
      </w:r>
      <w:r>
        <w:fldChar w:fldCharType="begin"/>
      </w:r>
      <w:r>
        <w:instrText xml:space="preserve"> REF  _Ref163575168 \h \t\#\0   \* MERGEFORMAT </w:instrText>
      </w:r>
      <w:r>
        <w:fldChar w:fldCharType="separate"/>
      </w:r>
      <w:r>
        <w:t>130</w:t>
      </w:r>
      <w:r>
        <w:fldChar w:fldCharType="end"/>
      </w:r>
      <w:r>
        <w:t>) также содержит информацию о счете, к которому применен повторный МЭК, в табличной форме:</w:t>
      </w:r>
    </w:p>
    <w:p w14:paraId="747252ED">
      <w:pPr>
        <w:pStyle w:val="76"/>
      </w:pPr>
      <w:r>
        <w:t>номер счета;</w:t>
      </w:r>
    </w:p>
    <w:p w14:paraId="60E44FCC">
      <w:pPr>
        <w:pStyle w:val="76"/>
      </w:pPr>
      <w:r>
        <w:t>актуальную версию счета;</w:t>
      </w:r>
    </w:p>
    <w:p w14:paraId="769DE88D">
      <w:pPr>
        <w:pStyle w:val="76"/>
      </w:pPr>
      <w:r>
        <w:t>дату отправки финального ответа плательщика.</w:t>
      </w:r>
    </w:p>
    <w:bookmarkEnd w:id="2629"/>
    <w:p w14:paraId="6BDE7623">
      <w:pPr>
        <w:pStyle w:val="73"/>
      </w:pPr>
      <w:r>
        <w:drawing>
          <wp:inline distT="0" distB="0" distL="0" distR="0">
            <wp:extent cx="6119495" cy="1693545"/>
            <wp:effectExtent l="19050" t="19050" r="14605" b="20955"/>
            <wp:docPr id="9431478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147824" name="Рисунок 1"/>
                    <pic:cNvPicPr>
                      <a:picLocks noChangeAspect="1"/>
                    </pic:cNvPicPr>
                  </pic:nvPicPr>
                  <pic:blipFill>
                    <a:blip r:embed="rId158"/>
                    <a:srcRect r="40035" b="63697"/>
                    <a:stretch>
                      <a:fillRect/>
                    </a:stretch>
                  </pic:blipFill>
                  <pic:spPr>
                    <a:xfrm>
                      <a:off x="0" y="0"/>
                      <a:ext cx="6120000" cy="1693928"/>
                    </a:xfrm>
                    <a:prstGeom prst="rect">
                      <a:avLst/>
                    </a:prstGeom>
                    <a:ln w="3175" cmpd="sng">
                      <a:solidFill>
                        <a:srgbClr val="000000"/>
                      </a:solidFill>
                    </a:ln>
                  </pic:spPr>
                </pic:pic>
              </a:graphicData>
            </a:graphic>
          </wp:inline>
        </w:drawing>
      </w:r>
    </w:p>
    <w:p w14:paraId="4C2C7AE7">
      <w:pPr>
        <w:pStyle w:val="74"/>
      </w:pPr>
      <w:bookmarkStart w:id="2630" w:name="_Ref163575168"/>
      <w:r>
        <w:t xml:space="preserve">Рисунок </w:t>
      </w:r>
      <w:r>
        <w:fldChar w:fldCharType="begin"/>
      </w:r>
      <w:r>
        <w:instrText xml:space="preserve"> SEQ Рисунок \* ARABIC </w:instrText>
      </w:r>
      <w:r>
        <w:fldChar w:fldCharType="separate"/>
      </w:r>
      <w:r>
        <w:t>130</w:t>
      </w:r>
      <w:r>
        <w:fldChar w:fldCharType="end"/>
      </w:r>
      <w:bookmarkEnd w:id="2630"/>
      <w:r>
        <w:t xml:space="preserve"> — Повторный МЭК. Блок «Общая информация»</w:t>
      </w:r>
    </w:p>
    <w:p w14:paraId="39CB4E58">
      <w:pPr>
        <w:pStyle w:val="69"/>
      </w:pPr>
      <w:r>
        <w:t xml:space="preserve">Блок «Дельта» (рис. </w:t>
      </w:r>
      <w:r>
        <w:fldChar w:fldCharType="begin"/>
      </w:r>
      <w:r>
        <w:instrText xml:space="preserve"> REF  _Ref163211017 \h\#\0   \* MERGEFORMAT </w:instrText>
      </w:r>
      <w:r>
        <w:fldChar w:fldCharType="separate"/>
      </w:r>
      <w:r>
        <w:t>131</w:t>
      </w:r>
      <w:r>
        <w:fldChar w:fldCharType="end"/>
      </w:r>
      <w:r>
        <w:t xml:space="preserve">) содержит перечень СЭФД, вошедших в счет, </w:t>
      </w:r>
      <w:bookmarkStart w:id="2631" w:name="_Hlk202193675"/>
      <w:r>
        <w:t>по которым:</w:t>
      </w:r>
    </w:p>
    <w:p w14:paraId="478964C1">
      <w:pPr>
        <w:pStyle w:val="75"/>
        <w:numPr>
          <w:ilvl w:val="0"/>
          <w:numId w:val="25"/>
        </w:numPr>
      </w:pPr>
      <w:bookmarkStart w:id="2632" w:name="_Hlk202191230"/>
      <w:r>
        <w:t>найдены дефекты, но при предыдущей проверке МЭК (первичной или повторной) документы задефектованы не были и были приняты к оплате;</w:t>
      </w:r>
    </w:p>
    <w:p w14:paraId="66127B48">
      <w:pPr>
        <w:pStyle w:val="75"/>
      </w:pPr>
      <w:r>
        <w:t>отсутствуют дефекты, но при предыдущей проверке МЭК (первичной или повторной) документы были задефектованы и сняты с оплаты;</w:t>
      </w:r>
    </w:p>
    <w:p w14:paraId="7CEB1155">
      <w:pPr>
        <w:pStyle w:val="75"/>
      </w:pPr>
      <w:r>
        <w:t>изменился состав дефектов.</w:t>
      </w:r>
    </w:p>
    <w:bookmarkEnd w:id="2631"/>
    <w:bookmarkEnd w:id="2632"/>
    <w:p w14:paraId="48DACABD">
      <w:pPr>
        <w:pStyle w:val="73"/>
      </w:pPr>
      <w:r>
        <w:drawing>
          <wp:inline distT="0" distB="0" distL="0" distR="0">
            <wp:extent cx="6119495" cy="1007110"/>
            <wp:effectExtent l="19050" t="19050" r="14605" b="21590"/>
            <wp:docPr id="21112634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263457" name="Рисунок 1"/>
                    <pic:cNvPicPr>
                      <a:picLocks noChangeAspect="1"/>
                    </pic:cNvPicPr>
                  </pic:nvPicPr>
                  <pic:blipFill>
                    <a:blip r:embed="rId158"/>
                    <a:srcRect t="34254" r="-34" b="29723"/>
                    <a:stretch>
                      <a:fillRect/>
                    </a:stretch>
                  </pic:blipFill>
                  <pic:spPr>
                    <a:xfrm>
                      <a:off x="0" y="0"/>
                      <a:ext cx="6120000" cy="1007575"/>
                    </a:xfrm>
                    <a:prstGeom prst="rect">
                      <a:avLst/>
                    </a:prstGeom>
                    <a:ln w="3175" cmpd="sng">
                      <a:solidFill>
                        <a:srgbClr val="000000"/>
                      </a:solidFill>
                    </a:ln>
                  </pic:spPr>
                </pic:pic>
              </a:graphicData>
            </a:graphic>
          </wp:inline>
        </w:drawing>
      </w:r>
    </w:p>
    <w:p w14:paraId="5996F736">
      <w:pPr>
        <w:pStyle w:val="74"/>
      </w:pPr>
      <w:bookmarkStart w:id="2633" w:name="_Ref163211017"/>
      <w:r>
        <w:t xml:space="preserve">Рисунок </w:t>
      </w:r>
      <w:r>
        <w:fldChar w:fldCharType="begin"/>
      </w:r>
      <w:r>
        <w:instrText xml:space="preserve"> SEQ Рисунок \* ARABIC </w:instrText>
      </w:r>
      <w:r>
        <w:fldChar w:fldCharType="separate"/>
      </w:r>
      <w:r>
        <w:t>131</w:t>
      </w:r>
      <w:r>
        <w:fldChar w:fldCharType="end"/>
      </w:r>
      <w:bookmarkEnd w:id="2633"/>
      <w:r>
        <w:t xml:space="preserve"> — Повторный МЭК. Блок «Дельта»</w:t>
      </w:r>
    </w:p>
    <w:p w14:paraId="0BF156AF">
      <w:pPr>
        <w:pStyle w:val="69"/>
      </w:pPr>
      <w:r>
        <w:t>Табличная часть блока «Дельта» содержит сведения о вошедших в дельту законченных случаях:</w:t>
      </w:r>
    </w:p>
    <w:p w14:paraId="40097B37">
      <w:pPr>
        <w:pStyle w:val="76"/>
      </w:pPr>
      <w:bookmarkStart w:id="2634" w:name="_Hlk205573388"/>
      <w:r>
        <w:t>поле выбора элемента списка;</w:t>
      </w:r>
    </w:p>
    <w:p w14:paraId="0C28A7DE">
      <w:pPr>
        <w:pStyle w:val="76"/>
      </w:pPr>
      <w:r>
        <w:t>порядковый номер законченного случая;</w:t>
      </w:r>
    </w:p>
    <w:p w14:paraId="128A0124">
      <w:pPr>
        <w:pStyle w:val="76"/>
      </w:pPr>
      <w:r>
        <w:t>«СЭФД» — идентификатор СЭФД. Активная ссылка для перехода в карточку СЭФД;</w:t>
      </w:r>
    </w:p>
    <w:p w14:paraId="44972F2C">
      <w:pPr>
        <w:pStyle w:val="76"/>
      </w:pPr>
      <w:r>
        <w:t xml:space="preserve">«№ ИБ/МК» —номер истории болезни </w:t>
      </w:r>
      <w:bookmarkStart w:id="2635" w:name="_Hlk202193135"/>
      <w:r>
        <w:t xml:space="preserve">(для СЭФД СТЦ) </w:t>
      </w:r>
      <w:bookmarkEnd w:id="2635"/>
      <w:r>
        <w:t xml:space="preserve">или номер медицинской карты </w:t>
      </w:r>
      <w:bookmarkStart w:id="2636" w:name="_Hlk202193159"/>
      <w:r>
        <w:t xml:space="preserve">(для СЭФД АМБ) или </w:t>
      </w:r>
      <w:bookmarkEnd w:id="2636"/>
      <w:r>
        <w:t>ИД СЭМД (для СЭФД СМП);</w:t>
      </w:r>
    </w:p>
    <w:p w14:paraId="76F97C47">
      <w:pPr>
        <w:pStyle w:val="76"/>
      </w:pPr>
      <w:r>
        <w:t>«ФИО пациента» — фамилия и инициалы пациента;</w:t>
      </w:r>
    </w:p>
    <w:p w14:paraId="5C21B311">
      <w:pPr>
        <w:pStyle w:val="76"/>
      </w:pPr>
      <w:r>
        <w:t>«Год рождения» — год рождения пациента в формате ГГГГ;</w:t>
      </w:r>
    </w:p>
    <w:p w14:paraId="13DF7602">
      <w:pPr>
        <w:pStyle w:val="76"/>
      </w:pPr>
      <w:r>
        <w:t>«Диагноз» — код основного заключительного диагноза по справочнику МКБ-10. При наведении указателя на код отображается наименование;</w:t>
      </w:r>
    </w:p>
    <w:p w14:paraId="7EBEF49A">
      <w:pPr>
        <w:pStyle w:val="76"/>
      </w:pPr>
      <w:r>
        <w:t>«Сумма» — выставленная сумма к оплате, в руб.;</w:t>
      </w:r>
    </w:p>
    <w:p w14:paraId="7EBABBE4">
      <w:pPr>
        <w:pStyle w:val="76"/>
      </w:pPr>
      <w:r>
        <w:t>«Ошибка» — наименование ошибки по справочнику F014 (НСИ ФОМС). При наведении указателя на значение отображается полный перечень наименований ошибок;</w:t>
      </w:r>
    </w:p>
    <w:p w14:paraId="5CC71515">
      <w:pPr>
        <w:pStyle w:val="76"/>
      </w:pPr>
      <w:r>
        <w:t xml:space="preserve">«Основание» — код основания по справочнику </w:t>
      </w:r>
      <w:r>
        <w:rPr>
          <w:lang w:val="en-US"/>
        </w:rPr>
        <w:t>F</w:t>
      </w:r>
      <w:r>
        <w:t>014 (НСИ ФОМС). При наведении указателя на код отображается наименование;</w:t>
      </w:r>
    </w:p>
    <w:p w14:paraId="5C80BF30">
      <w:pPr>
        <w:pStyle w:val="76"/>
      </w:pPr>
      <w:r>
        <w:t>«Снятие» — объем неоплаты, в руб.</w:t>
      </w:r>
    </w:p>
    <w:bookmarkEnd w:id="2634"/>
    <w:p w14:paraId="7383F030">
      <w:pPr>
        <w:pStyle w:val="69"/>
      </w:pPr>
      <w:bookmarkStart w:id="2637" w:name="_Hlk205573408"/>
      <w:r>
        <w:t>В поле «Количество» отображается общее количество законченных случаев, вошедших в дельту.</w:t>
      </w:r>
    </w:p>
    <w:p w14:paraId="1B98BA44">
      <w:pPr>
        <w:pStyle w:val="69"/>
      </w:pPr>
      <w:r>
        <w:t>В поле «Сумма» отображается общая сумма снятий по всем вошедшим в дельту законченным случаям, в рублях.</w:t>
      </w:r>
    </w:p>
    <w:p w14:paraId="1F46B388">
      <w:pPr>
        <w:pStyle w:val="69"/>
      </w:pPr>
      <w:r>
        <w:t xml:space="preserve">Данные дельты включаются в </w:t>
      </w:r>
      <w:r>
        <w:rPr>
          <w:lang w:val="en-US"/>
        </w:rPr>
        <w:t>ME</w:t>
      </w:r>
      <w:r>
        <w:t>-файл при формировании финального ответа Плательщика аналогичного типа счета в ближайшем отчетном периоде.</w:t>
      </w:r>
    </w:p>
    <w:bookmarkEnd w:id="2637"/>
    <w:p w14:paraId="46F8D87A">
      <w:pPr>
        <w:pStyle w:val="69"/>
      </w:pPr>
      <w:bookmarkStart w:id="2638" w:name="_Hlk205573504"/>
      <w:r>
        <w:t xml:space="preserve">По нажатию кнопки «Выгрузить» (рис. </w:t>
      </w:r>
      <w:r>
        <w:fldChar w:fldCharType="begin"/>
      </w:r>
      <w:r>
        <w:instrText xml:space="preserve"> REF  _Ref163211017 \h\#\0   \* MERGEFORMAT </w:instrText>
      </w:r>
      <w:r>
        <w:fldChar w:fldCharType="separate"/>
      </w:r>
      <w:r>
        <w:t>131</w:t>
      </w:r>
      <w:r>
        <w:fldChar w:fldCharType="end"/>
      </w:r>
      <w:r>
        <w:t xml:space="preserve">) можно выгрузить в формате </w:t>
      </w:r>
      <w:r>
        <w:rPr>
          <w:lang w:val="en-US"/>
        </w:rPr>
        <w:t>XLSX</w:t>
      </w:r>
      <w:r>
        <w:t xml:space="preserve"> перечень законченных случаев в составе дельты. При этом:</w:t>
      </w:r>
    </w:p>
    <w:p w14:paraId="53959C42">
      <w:pPr>
        <w:pStyle w:val="76"/>
      </w:pPr>
      <w:bookmarkStart w:id="2639" w:name="_Hlk202195518"/>
      <w:r>
        <w:t>при наличии выделенных ЗС (установлен флаг) — произойдет выгрузка только выделенных ЗС;</w:t>
      </w:r>
    </w:p>
    <w:p w14:paraId="2D9864F2">
      <w:pPr>
        <w:pStyle w:val="76"/>
      </w:pPr>
      <w:r>
        <w:t>при отсутствии выделенных ЗС — произойдет выгрузка всех ЗС.</w:t>
      </w:r>
    </w:p>
    <w:bookmarkEnd w:id="2639"/>
    <w:p w14:paraId="4D2E9114">
      <w:pPr>
        <w:pStyle w:val="69"/>
      </w:pPr>
      <w:r>
        <w:t xml:space="preserve">Блок «Отчетные документы» (рис. </w:t>
      </w:r>
      <w:r>
        <w:fldChar w:fldCharType="begin"/>
      </w:r>
      <w:r>
        <w:instrText xml:space="preserve"> REF  _Ref163210959 \h\#\0   \* MERGEFORMAT </w:instrText>
      </w:r>
      <w:r>
        <w:fldChar w:fldCharType="separate"/>
      </w:r>
      <w:r>
        <w:t>132</w:t>
      </w:r>
      <w:r>
        <w:fldChar w:fldCharType="end"/>
      </w:r>
      <w:r>
        <w:t xml:space="preserve">) содержит автоматически сформированные сопроводительные документы по результатам повторного МЭК в форматах PDF и </w:t>
      </w:r>
      <w:r>
        <w:rPr>
          <w:lang w:val="en-US"/>
        </w:rPr>
        <w:t>XML</w:t>
      </w:r>
      <w:r>
        <w:t>:</w:t>
      </w:r>
    </w:p>
    <w:p w14:paraId="0E8085F5">
      <w:pPr>
        <w:pStyle w:val="76"/>
      </w:pPr>
      <w:r>
        <w:t>Заключение по результатам медико-экономического контроля;</w:t>
      </w:r>
    </w:p>
    <w:p w14:paraId="739FCBBC">
      <w:pPr>
        <w:pStyle w:val="76"/>
      </w:pPr>
      <w:r>
        <w:t>Реестр заключений по результатам медико-экономического контроля.</w:t>
      </w:r>
    </w:p>
    <w:p w14:paraId="112B54BE">
      <w:pPr>
        <w:pStyle w:val="73"/>
      </w:pPr>
      <w:r>
        <w:drawing>
          <wp:inline distT="0" distB="0" distL="0" distR="0">
            <wp:extent cx="6119495" cy="1403985"/>
            <wp:effectExtent l="19050" t="19050" r="14605" b="24765"/>
            <wp:docPr id="14900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42" name="Рисунок 1"/>
                    <pic:cNvPicPr>
                      <a:picLocks noChangeAspect="1"/>
                    </pic:cNvPicPr>
                  </pic:nvPicPr>
                  <pic:blipFill>
                    <a:blip r:embed="rId160"/>
                    <a:stretch>
                      <a:fillRect/>
                    </a:stretch>
                  </pic:blipFill>
                  <pic:spPr>
                    <a:xfrm>
                      <a:off x="0" y="0"/>
                      <a:ext cx="6120000" cy="1404558"/>
                    </a:xfrm>
                    <a:prstGeom prst="rect">
                      <a:avLst/>
                    </a:prstGeom>
                    <a:ln w="3175" cmpd="sng">
                      <a:solidFill>
                        <a:srgbClr val="000000"/>
                      </a:solidFill>
                    </a:ln>
                  </pic:spPr>
                </pic:pic>
              </a:graphicData>
            </a:graphic>
          </wp:inline>
        </w:drawing>
      </w:r>
    </w:p>
    <w:p w14:paraId="73B61376">
      <w:pPr>
        <w:pStyle w:val="74"/>
      </w:pPr>
      <w:bookmarkStart w:id="2640" w:name="_Ref163210959"/>
      <w:r>
        <w:t xml:space="preserve">Рисунок </w:t>
      </w:r>
      <w:r>
        <w:fldChar w:fldCharType="begin"/>
      </w:r>
      <w:r>
        <w:instrText xml:space="preserve"> SEQ Рисунок \* ARABIC </w:instrText>
      </w:r>
      <w:r>
        <w:fldChar w:fldCharType="separate"/>
      </w:r>
      <w:r>
        <w:t>132</w:t>
      </w:r>
      <w:r>
        <w:fldChar w:fldCharType="end"/>
      </w:r>
      <w:bookmarkEnd w:id="2640"/>
      <w:r>
        <w:t xml:space="preserve"> — Повторный МЭК. Блок «Отчетные документы»</w:t>
      </w:r>
    </w:p>
    <w:p w14:paraId="78D7D8DF">
      <w:pPr>
        <w:pStyle w:val="69"/>
      </w:pPr>
      <w:r>
        <w:t>Табличная часть блока отчетной документации состоит из следующих столбцов:</w:t>
      </w:r>
    </w:p>
    <w:p w14:paraId="0BA7D415">
      <w:pPr>
        <w:pStyle w:val="76"/>
      </w:pPr>
      <w:r>
        <w:t>«ИД» — идентификатор документа;</w:t>
      </w:r>
    </w:p>
    <w:p w14:paraId="407FE0DA">
      <w:pPr>
        <w:pStyle w:val="76"/>
      </w:pPr>
      <w:r>
        <w:t>«Дата формирования файла» — дата формирования документа;</w:t>
      </w:r>
    </w:p>
    <w:p w14:paraId="04E1E005">
      <w:pPr>
        <w:pStyle w:val="76"/>
      </w:pPr>
      <w:r>
        <w:t>«Документ» — наименование типа документа;</w:t>
      </w:r>
    </w:p>
    <w:p w14:paraId="685BC49B">
      <w:pPr>
        <w:pStyle w:val="76"/>
      </w:pPr>
      <w:r>
        <w:t>«Файл» — наименование файла, при нажатии можно скачать указанный файл;</w:t>
      </w:r>
    </w:p>
    <w:p w14:paraId="3EF7BF31">
      <w:pPr>
        <w:pStyle w:val="76"/>
      </w:pPr>
      <w:r>
        <w:t>«Статус» — текущее состояние документа. Возможные статусы:</w:t>
      </w:r>
    </w:p>
    <w:p w14:paraId="416E8C53">
      <w:pPr>
        <w:pStyle w:val="78"/>
      </w:pPr>
      <w:r>
        <w:t>Сформирован;</w:t>
      </w:r>
    </w:p>
    <w:p w14:paraId="490A179B">
      <w:pPr>
        <w:pStyle w:val="78"/>
      </w:pPr>
      <w:r>
        <w:t>Подписан;</w:t>
      </w:r>
    </w:p>
    <w:p w14:paraId="23386BC7">
      <w:pPr>
        <w:pStyle w:val="78"/>
      </w:pPr>
      <w:r>
        <w:t>Опубликован.</w:t>
      </w:r>
    </w:p>
    <w:p w14:paraId="468B7C4C">
      <w:pPr>
        <w:pStyle w:val="69"/>
      </w:pPr>
      <w:r>
        <w:t>В поле «Количество» отображается общее количество сформированных отчетных документов.</w:t>
      </w:r>
    </w:p>
    <w:p w14:paraId="1585E173">
      <w:pPr>
        <w:pStyle w:val="69"/>
      </w:pPr>
      <w:r>
        <w:t xml:space="preserve">Чтобы выгрузить отчетные документы, нажать значок </w:t>
      </w:r>
      <w:r>
        <w:drawing>
          <wp:inline distT="0" distB="0" distL="0" distR="0">
            <wp:extent cx="152400" cy="152400"/>
            <wp:effectExtent l="19050" t="19050" r="19050" b="19050"/>
            <wp:docPr id="9025582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558289" name="Рисунок 1"/>
                    <pic:cNvPicPr>
                      <a:picLocks noChangeAspect="1"/>
                    </pic:cNvPicPr>
                  </pic:nvPicPr>
                  <pic:blipFill>
                    <a:blip r:embed="rId161"/>
                    <a:stretch>
                      <a:fillRect/>
                    </a:stretch>
                  </pic:blipFill>
                  <pic:spPr>
                    <a:xfrm>
                      <a:off x="0" y="0"/>
                      <a:ext cx="152421" cy="152421"/>
                    </a:xfrm>
                    <a:prstGeom prst="rect">
                      <a:avLst/>
                    </a:prstGeom>
                    <a:ln w="3175" cmpd="sng">
                      <a:solidFill>
                        <a:srgbClr val="000000"/>
                      </a:solidFill>
                    </a:ln>
                  </pic:spPr>
                </pic:pic>
              </a:graphicData>
            </a:graphic>
          </wp:inline>
        </w:drawing>
      </w:r>
      <w:r>
        <w:t xml:space="preserve"> «Скачать» в столбце «Файл».</w:t>
      </w:r>
    </w:p>
    <w:bookmarkEnd w:id="2638"/>
    <w:p w14:paraId="6D04FE37">
      <w:pPr>
        <w:pStyle w:val="60"/>
      </w:pPr>
      <w:bookmarkStart w:id="2641" w:name="_Toc225866363"/>
      <w:bookmarkStart w:id="2642" w:name="_Ref164953499"/>
      <w:r>
        <w:t>Выполнение повторного МЭК</w:t>
      </w:r>
      <w:bookmarkEnd w:id="2641"/>
      <w:bookmarkEnd w:id="2642"/>
    </w:p>
    <w:p w14:paraId="7A29FD2C">
      <w:pPr>
        <w:pStyle w:val="69"/>
      </w:pPr>
      <w:r>
        <w:t>Операция доступна пользователю с ролью Администратор счетов субъекта.</w:t>
      </w:r>
    </w:p>
    <w:p w14:paraId="7F61BCC8">
      <w:pPr>
        <w:pStyle w:val="69"/>
      </w:pPr>
      <w:r>
        <w:t>Создание повторного МЭК осуществляется в разделе «Повторный МЭК».</w:t>
      </w:r>
    </w:p>
    <w:p w14:paraId="7EBC3FAA">
      <w:pPr>
        <w:pStyle w:val="69"/>
      </w:pPr>
      <w:r>
        <w:t>Для перехода в раздел в ленте главного меню выбрать вкладку «Повторный МЭК».</w:t>
      </w:r>
    </w:p>
    <w:p w14:paraId="04E42BF7">
      <w:pPr>
        <w:pStyle w:val="69"/>
      </w:pPr>
      <w:r>
        <w:t xml:space="preserve">В панели фильтрации в блоке «Фильтр» указать отчетный период, вид контроля и медицинскую организацию и нажать кнопку «Найти» (рис. </w:t>
      </w:r>
      <w:r>
        <w:fldChar w:fldCharType="begin"/>
      </w:r>
      <w:r>
        <w:instrText xml:space="preserve"> REF  _Ref163054922 \h\#\0   \* MERGEFORMAT </w:instrText>
      </w:r>
      <w:r>
        <w:fldChar w:fldCharType="separate"/>
      </w:r>
      <w:r>
        <w:t>128</w:t>
      </w:r>
      <w:r>
        <w:fldChar w:fldCharType="end"/>
      </w:r>
      <w:r>
        <w:t>).</w:t>
      </w:r>
    </w:p>
    <w:p w14:paraId="12A60094">
      <w:pPr>
        <w:pStyle w:val="69"/>
      </w:pPr>
      <w:r>
        <w:t>В рабочей области отобразится список записей повторных МЭК.</w:t>
      </w:r>
    </w:p>
    <w:p w14:paraId="4E1D0033">
      <w:pPr>
        <w:pStyle w:val="69"/>
      </w:pPr>
      <w:r>
        <w:t>Необходимо убедиться в отсутствии открытых повторных МЭК— для каждого счета может существовать только один незавершенный повторный МЭК. Наличие записей повторных МЭК в статусах отличных от «Закрыт» и «Отменен» блокирует создание новой записи.</w:t>
      </w:r>
    </w:p>
    <w:p w14:paraId="73997B30">
      <w:pPr>
        <w:pStyle w:val="69"/>
        <w:rPr>
          <w:lang w:val="en-US"/>
        </w:rPr>
      </w:pPr>
      <w:r>
        <w:t xml:space="preserve">Для инициации повторного МЭК необходимо нажать кнопку «Создать» справа над рабочей областью (рис. </w:t>
      </w:r>
      <w:r>
        <w:fldChar w:fldCharType="begin"/>
      </w:r>
      <w:r>
        <w:instrText xml:space="preserve"> REF  _Ref163055585 \h\#\0   \* MERGEFORMAT </w:instrText>
      </w:r>
      <w:r>
        <w:fldChar w:fldCharType="separate"/>
      </w:r>
      <w:r>
        <w:t>133</w:t>
      </w:r>
      <w:r>
        <w:fldChar w:fldCharType="end"/>
      </w:r>
      <w:r>
        <w:t>) для создания новой записи</w:t>
      </w:r>
      <w:r>
        <w:rPr>
          <w:lang w:val="en-US"/>
        </w:rPr>
        <w:t>.</w:t>
      </w:r>
    </w:p>
    <w:p w14:paraId="2DEA310F">
      <w:pPr>
        <w:pStyle w:val="73"/>
      </w:pPr>
      <w:r>
        <w:drawing>
          <wp:inline distT="0" distB="0" distL="0" distR="0">
            <wp:extent cx="6115685" cy="1870075"/>
            <wp:effectExtent l="19050" t="19050" r="18415" b="15875"/>
            <wp:docPr id="13200555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55545" name="Рисунок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6115685" cy="1870075"/>
                    </a:xfrm>
                    <a:prstGeom prst="rect">
                      <a:avLst/>
                    </a:prstGeom>
                    <a:noFill/>
                    <a:ln w="3175" cmpd="sng">
                      <a:solidFill>
                        <a:srgbClr val="000000"/>
                      </a:solidFill>
                    </a:ln>
                  </pic:spPr>
                </pic:pic>
              </a:graphicData>
            </a:graphic>
          </wp:inline>
        </w:drawing>
      </w:r>
    </w:p>
    <w:p w14:paraId="6217E057">
      <w:pPr>
        <w:pStyle w:val="74"/>
      </w:pPr>
      <w:bookmarkStart w:id="2643" w:name="_Ref163055585"/>
      <w:r>
        <w:t xml:space="preserve">Рисунок </w:t>
      </w:r>
      <w:r>
        <w:fldChar w:fldCharType="begin"/>
      </w:r>
      <w:r>
        <w:instrText xml:space="preserve"> SEQ Рисунок \* ARABIC </w:instrText>
      </w:r>
      <w:r>
        <w:fldChar w:fldCharType="separate"/>
      </w:r>
      <w:r>
        <w:t>133</w:t>
      </w:r>
      <w:r>
        <w:fldChar w:fldCharType="end"/>
      </w:r>
      <w:bookmarkEnd w:id="2643"/>
      <w:r>
        <w:t xml:space="preserve"> — Раздел «Повторный МЭК». Создание повторного МЭК</w:t>
      </w:r>
    </w:p>
    <w:p w14:paraId="29C51538">
      <w:pPr>
        <w:pStyle w:val="69"/>
      </w:pPr>
      <w:r>
        <w:t xml:space="preserve">Откроется форма создания повторного МЭК, статус «Создание» (рис. </w:t>
      </w:r>
      <w:r>
        <w:fldChar w:fldCharType="begin"/>
      </w:r>
      <w:r>
        <w:instrText xml:space="preserve"> REF  _Ref163213500 \h\#\0   \* MERGEFORMAT </w:instrText>
      </w:r>
      <w:r>
        <w:fldChar w:fldCharType="separate"/>
      </w:r>
      <w:r>
        <w:t>134</w:t>
      </w:r>
      <w:r>
        <w:fldChar w:fldCharType="end"/>
      </w:r>
      <w:r>
        <w:t>).</w:t>
      </w:r>
    </w:p>
    <w:p w14:paraId="7B80FD86">
      <w:pPr>
        <w:pStyle w:val="73"/>
      </w:pPr>
      <w:r>
        <w:drawing>
          <wp:inline distT="0" distB="0" distL="0" distR="0">
            <wp:extent cx="6119495" cy="1280795"/>
            <wp:effectExtent l="19050" t="19050" r="14605" b="14605"/>
            <wp:docPr id="12520028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002846" name="Рисунок 1"/>
                    <pic:cNvPicPr>
                      <a:picLocks noChangeAspect="1"/>
                    </pic:cNvPicPr>
                  </pic:nvPicPr>
                  <pic:blipFill>
                    <a:blip r:embed="rId163"/>
                    <a:stretch>
                      <a:fillRect/>
                    </a:stretch>
                  </pic:blipFill>
                  <pic:spPr>
                    <a:xfrm>
                      <a:off x="0" y="0"/>
                      <a:ext cx="6119495" cy="1280795"/>
                    </a:xfrm>
                    <a:prstGeom prst="rect">
                      <a:avLst/>
                    </a:prstGeom>
                    <a:ln w="3175" cmpd="sng">
                      <a:solidFill>
                        <a:srgbClr val="000000"/>
                      </a:solidFill>
                    </a:ln>
                  </pic:spPr>
                </pic:pic>
              </a:graphicData>
            </a:graphic>
          </wp:inline>
        </w:drawing>
      </w:r>
    </w:p>
    <w:p w14:paraId="02FC24D9">
      <w:pPr>
        <w:pStyle w:val="74"/>
      </w:pPr>
      <w:bookmarkStart w:id="2644" w:name="_Ref163213500"/>
      <w:r>
        <w:t xml:space="preserve">Рисунок </w:t>
      </w:r>
      <w:r>
        <w:fldChar w:fldCharType="begin"/>
      </w:r>
      <w:r>
        <w:instrText xml:space="preserve"> SEQ Рисунок \* ARABIC </w:instrText>
      </w:r>
      <w:r>
        <w:fldChar w:fldCharType="separate"/>
      </w:r>
      <w:r>
        <w:t>134</w:t>
      </w:r>
      <w:r>
        <w:fldChar w:fldCharType="end"/>
      </w:r>
      <w:bookmarkEnd w:id="2644"/>
      <w:r>
        <w:t xml:space="preserve"> — Форма создания повторного МЭК</w:t>
      </w:r>
    </w:p>
    <w:p w14:paraId="425702A5">
      <w:pPr>
        <w:pStyle w:val="69"/>
      </w:pPr>
      <w:r>
        <w:t>В блоке «Общая информация» заполнить обязательные поля:</w:t>
      </w:r>
    </w:p>
    <w:p w14:paraId="40A2A203">
      <w:pPr>
        <w:pStyle w:val="76"/>
      </w:pPr>
      <w:r>
        <w:t>«Вид повторного МЭК» — указать вид контроля, выбрав значение в справочнике. Возможные варианты:</w:t>
      </w:r>
    </w:p>
    <w:p w14:paraId="1F0D44DE">
      <w:pPr>
        <w:pStyle w:val="78"/>
      </w:pPr>
      <w:r>
        <w:t>10 — Повторный медико-экономический контроль в плановом порядке;</w:t>
      </w:r>
    </w:p>
    <w:p w14:paraId="05DE961F">
      <w:pPr>
        <w:pStyle w:val="78"/>
      </w:pPr>
      <w:r>
        <w:t>11 — Повторный медико-экономический контроль по претензиям МО;</w:t>
      </w:r>
    </w:p>
    <w:p w14:paraId="3BF82DA2">
      <w:pPr>
        <w:pStyle w:val="78"/>
      </w:pPr>
      <w:r>
        <w:t>12 — Повторный медико-экономический контроль по другим причинам;</w:t>
      </w:r>
    </w:p>
    <w:p w14:paraId="5B17B2B7">
      <w:pPr>
        <w:pStyle w:val="76"/>
      </w:pPr>
      <w:r>
        <w:t>«Отчетный период» — указать закрытый период, выбрав месяц и год в календаре;</w:t>
      </w:r>
    </w:p>
    <w:p w14:paraId="37300DEB">
      <w:pPr>
        <w:pStyle w:val="76"/>
      </w:pPr>
      <w:r>
        <w:t xml:space="preserve">«ТПГГ и ПГГ» — указать код и краткое наименование медицинской организации, выбрав значение в раскрывающемся справочнике </w:t>
      </w:r>
      <w:r>
        <w:rPr>
          <w:lang w:val="en-US"/>
        </w:rPr>
        <w:t>F</w:t>
      </w:r>
      <w:r>
        <w:t>032;</w:t>
      </w:r>
    </w:p>
    <w:p w14:paraId="1DDE8C96">
      <w:pPr>
        <w:pStyle w:val="76"/>
      </w:pPr>
      <w:r>
        <w:t xml:space="preserve">«Плательщик»— указать код и наименование плательщика, выбрав значение в раскрывающемся справочнике </w:t>
      </w:r>
      <w:r>
        <w:rPr>
          <w:lang w:val="en-US"/>
        </w:rPr>
        <w:t>F</w:t>
      </w:r>
      <w:r>
        <w:t>017;</w:t>
      </w:r>
    </w:p>
    <w:p w14:paraId="4992B860">
      <w:pPr>
        <w:pStyle w:val="76"/>
      </w:pPr>
      <w:r>
        <w:t>«Тип счета» — указать тип счета, выбрав значение в раскрывающемся списке. Список значений доступен после заполнения поля «Плательщик».</w:t>
      </w:r>
    </w:p>
    <w:p w14:paraId="6B5302FC">
      <w:pPr>
        <w:pStyle w:val="69"/>
      </w:pPr>
      <w:r>
        <w:t>После заполнения обязательных полей нажать кнопку «Сохранить». Запустится процесс автоматического поиска соответствующего указанному отчетному периоду закрытого счета, на который будет применен повторный МЭК.</w:t>
      </w:r>
    </w:p>
    <w:p w14:paraId="35707047">
      <w:pPr>
        <w:pStyle w:val="69"/>
      </w:pPr>
      <w:r>
        <w:t xml:space="preserve">После нахождения закрытого счета статус повторного МЭК изменится на значение «Черновик». В блоке «Общая информация» отобразятся сведения, введенные при заполнении обязательных полей, и сведения о счете, включая номер счета, актуальную версию счета и дату отправки финального ответа плательщика (рис. </w:t>
      </w:r>
      <w:r>
        <w:fldChar w:fldCharType="begin"/>
      </w:r>
      <w:r>
        <w:instrText xml:space="preserve"> REF  _Ref163216035 \h\#\0   \* MERGEFORMAT </w:instrText>
      </w:r>
      <w:r>
        <w:fldChar w:fldCharType="separate"/>
      </w:r>
      <w:r>
        <w:t>135</w:t>
      </w:r>
      <w:r>
        <w:fldChar w:fldCharType="end"/>
      </w:r>
      <w:r>
        <w:t>).</w:t>
      </w:r>
    </w:p>
    <w:p w14:paraId="320F22A9">
      <w:pPr>
        <w:pStyle w:val="73"/>
      </w:pPr>
      <w:r>
        <w:drawing>
          <wp:inline distT="0" distB="0" distL="0" distR="0">
            <wp:extent cx="6119495" cy="1199515"/>
            <wp:effectExtent l="19050" t="19050" r="14605" b="19685"/>
            <wp:docPr id="19645662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66243" name="Рисунок 1"/>
                    <pic:cNvPicPr>
                      <a:picLocks noChangeAspect="1"/>
                    </pic:cNvPicPr>
                  </pic:nvPicPr>
                  <pic:blipFill>
                    <a:blip r:embed="rId164"/>
                    <a:stretch>
                      <a:fillRect/>
                    </a:stretch>
                  </pic:blipFill>
                  <pic:spPr>
                    <a:xfrm>
                      <a:off x="0" y="0"/>
                      <a:ext cx="6120000" cy="1199794"/>
                    </a:xfrm>
                    <a:prstGeom prst="rect">
                      <a:avLst/>
                    </a:prstGeom>
                    <a:ln w="3175" cmpd="sng">
                      <a:solidFill>
                        <a:srgbClr val="000000"/>
                      </a:solidFill>
                    </a:ln>
                  </pic:spPr>
                </pic:pic>
              </a:graphicData>
            </a:graphic>
          </wp:inline>
        </w:drawing>
      </w:r>
    </w:p>
    <w:p w14:paraId="46CD5FEE">
      <w:pPr>
        <w:pStyle w:val="74"/>
      </w:pPr>
      <w:bookmarkStart w:id="2645" w:name="_Ref163216035"/>
      <w:r>
        <w:t xml:space="preserve">Рисунок </w:t>
      </w:r>
      <w:r>
        <w:fldChar w:fldCharType="begin"/>
      </w:r>
      <w:r>
        <w:instrText xml:space="preserve"> SEQ Рисунок \* ARABIC </w:instrText>
      </w:r>
      <w:r>
        <w:fldChar w:fldCharType="separate"/>
      </w:r>
      <w:r>
        <w:t>135</w:t>
      </w:r>
      <w:r>
        <w:fldChar w:fldCharType="end"/>
      </w:r>
      <w:bookmarkEnd w:id="2645"/>
      <w:r>
        <w:t xml:space="preserve"> — Повторный МЭК. Статус «Черновик»</w:t>
      </w:r>
    </w:p>
    <w:p w14:paraId="64067968">
      <w:pPr>
        <w:pStyle w:val="69"/>
      </w:pPr>
      <w:r>
        <w:t xml:space="preserve">Если закрытый счет не будет обнаружен, то отобразится предупреждение об ошибке при создании повторного МЭК по причине отсутствия закрытого счета в ФПУМП (рис. </w:t>
      </w:r>
      <w:r>
        <w:fldChar w:fldCharType="begin"/>
      </w:r>
      <w:r>
        <w:instrText xml:space="preserve"> REF  _Ref163055835 \h\#\0   \* MERGEFORMAT </w:instrText>
      </w:r>
      <w:r>
        <w:fldChar w:fldCharType="separate"/>
      </w:r>
      <w:r>
        <w:t>136</w:t>
      </w:r>
      <w:r>
        <w:fldChar w:fldCharType="end"/>
      </w:r>
      <w:r>
        <w:t>).</w:t>
      </w:r>
    </w:p>
    <w:p w14:paraId="148FCA24">
      <w:pPr>
        <w:pStyle w:val="73"/>
      </w:pPr>
      <w:bookmarkStart w:id="2646" w:name="_Hlk164155379"/>
      <w:r>
        <w:drawing>
          <wp:inline distT="0" distB="0" distL="0" distR="0">
            <wp:extent cx="5940425" cy="1320165"/>
            <wp:effectExtent l="19050" t="19050" r="22225" b="13335"/>
            <wp:docPr id="1166453458" name="Рисунок 116645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453458" name="Рисунок 1166453458"/>
                    <pic:cNvPicPr>
                      <a:picLocks noChangeAspect="1"/>
                    </pic:cNvPicPr>
                  </pic:nvPicPr>
                  <pic:blipFill>
                    <a:blip r:embed="rId165"/>
                    <a:stretch>
                      <a:fillRect/>
                    </a:stretch>
                  </pic:blipFill>
                  <pic:spPr>
                    <a:xfrm>
                      <a:off x="0" y="0"/>
                      <a:ext cx="5940425" cy="1320165"/>
                    </a:xfrm>
                    <a:prstGeom prst="rect">
                      <a:avLst/>
                    </a:prstGeom>
                    <a:ln w="3175" cmpd="sng">
                      <a:solidFill>
                        <a:srgbClr val="000000"/>
                      </a:solidFill>
                    </a:ln>
                  </pic:spPr>
                </pic:pic>
              </a:graphicData>
            </a:graphic>
          </wp:inline>
        </w:drawing>
      </w:r>
    </w:p>
    <w:p w14:paraId="1AA75293">
      <w:pPr>
        <w:pStyle w:val="74"/>
      </w:pPr>
      <w:bookmarkStart w:id="2647" w:name="_Ref163055835"/>
      <w:r>
        <w:t xml:space="preserve">Рисунок </w:t>
      </w:r>
      <w:r>
        <w:fldChar w:fldCharType="begin"/>
      </w:r>
      <w:r>
        <w:instrText xml:space="preserve"> SEQ Рисунок \* ARABIC </w:instrText>
      </w:r>
      <w:r>
        <w:fldChar w:fldCharType="separate"/>
      </w:r>
      <w:r>
        <w:t>136</w:t>
      </w:r>
      <w:r>
        <w:fldChar w:fldCharType="end"/>
      </w:r>
      <w:bookmarkEnd w:id="2647"/>
      <w:r>
        <w:t xml:space="preserve"> — Предупреждение об ошибке при создании повторного МЭК. Отсутствие закрытого счета</w:t>
      </w:r>
    </w:p>
    <w:bookmarkEnd w:id="2646"/>
    <w:p w14:paraId="6110E2BD">
      <w:pPr>
        <w:pStyle w:val="69"/>
      </w:pPr>
      <w:r>
        <w:t>В случае отображения предупреждения об отсутствии закрытого счета необходимо:</w:t>
      </w:r>
    </w:p>
    <w:p w14:paraId="790AF417">
      <w:pPr>
        <w:pStyle w:val="75"/>
        <w:numPr>
          <w:ilvl w:val="0"/>
          <w:numId w:val="26"/>
        </w:numPr>
      </w:pPr>
      <w:r>
        <w:t xml:space="preserve">перейти в раздел «Реестр счетов» (см. </w:t>
      </w:r>
      <w:r>
        <w:fldChar w:fldCharType="begin"/>
      </w:r>
      <w:r>
        <w:instrText xml:space="preserve"> REF _Ref163223338 \n \h  \* MERGEFORMAT </w:instrText>
      </w:r>
      <w:r>
        <w:fldChar w:fldCharType="separate"/>
      </w:r>
      <w:r>
        <w:t>4.2</w:t>
      </w:r>
      <w:r>
        <w:fldChar w:fldCharType="end"/>
      </w:r>
      <w:r>
        <w:t>);</w:t>
      </w:r>
    </w:p>
    <w:p w14:paraId="0CFB47F0">
      <w:pPr>
        <w:pStyle w:val="75"/>
      </w:pPr>
      <w:r>
        <w:t>указать в панели фильтрации закрытый отчетный период и МО;</w:t>
      </w:r>
    </w:p>
    <w:p w14:paraId="799655F0">
      <w:pPr>
        <w:pStyle w:val="75"/>
      </w:pPr>
      <w:r>
        <w:t>убедиться в наличии счета для МО;</w:t>
      </w:r>
    </w:p>
    <w:p w14:paraId="3B96B8D9">
      <w:pPr>
        <w:pStyle w:val="75"/>
      </w:pPr>
      <w:r>
        <w:t>проверить текущее состояние (статус) счета.</w:t>
      </w:r>
    </w:p>
    <w:p w14:paraId="1E67288E">
      <w:pPr>
        <w:pStyle w:val="69"/>
      </w:pPr>
      <w:r>
        <w:t xml:space="preserve">Если текущее состояние счета в статусе, отличном от «Отправлен финальный ответ плательщика», то необходимо завершить работу со счетом (см. </w:t>
      </w:r>
      <w:r>
        <w:fldChar w:fldCharType="begin"/>
      </w:r>
      <w:r>
        <w:instrText xml:space="preserve"> REF _Ref163223338 \n \h </w:instrText>
      </w:r>
      <w:r>
        <w:fldChar w:fldCharType="separate"/>
      </w:r>
      <w:r>
        <w:t>4.2</w:t>
      </w:r>
      <w:r>
        <w:fldChar w:fldCharType="end"/>
      </w:r>
      <w:r>
        <w:t>).</w:t>
      </w:r>
    </w:p>
    <w:p w14:paraId="1604F7AD">
      <w:pPr>
        <w:pStyle w:val="69"/>
      </w:pPr>
      <w:r>
        <w:t>Если текущее состояние счета в статусе «Отправлен финальный ответ плательщика», то необходимо:</w:t>
      </w:r>
    </w:p>
    <w:p w14:paraId="05670A22">
      <w:pPr>
        <w:pStyle w:val="75"/>
        <w:numPr>
          <w:ilvl w:val="0"/>
          <w:numId w:val="27"/>
        </w:numPr>
      </w:pPr>
      <w:bookmarkStart w:id="2648" w:name="_Hlk164164144"/>
      <w:r>
        <w:t>вернуться в раздел «Повторный МЭК»;</w:t>
      </w:r>
    </w:p>
    <w:p w14:paraId="1DD92E29">
      <w:pPr>
        <w:pStyle w:val="75"/>
      </w:pPr>
      <w:r>
        <w:t>повторить создание записи повторного МЭК;</w:t>
      </w:r>
    </w:p>
    <w:p w14:paraId="218A7FA8">
      <w:pPr>
        <w:pStyle w:val="75"/>
      </w:pPr>
      <w:r>
        <w:t xml:space="preserve">при повторном отображении </w:t>
      </w:r>
      <w:bookmarkStart w:id="2649" w:name="_Hlk164155353"/>
      <w:r>
        <w:t xml:space="preserve">предупреждения об ошибке (рис. </w:t>
      </w:r>
      <w:r>
        <w:fldChar w:fldCharType="begin"/>
      </w:r>
      <w:r>
        <w:instrText xml:space="preserve"> REF  _Ref163055835 \h\#\0   \* MERGEFORMAT </w:instrText>
      </w:r>
      <w:r>
        <w:fldChar w:fldCharType="separate"/>
      </w:r>
      <w:r>
        <w:t>136</w:t>
      </w:r>
      <w:r>
        <w:fldChar w:fldCharType="end"/>
      </w:r>
      <w:r>
        <w:t>) нажать кнопку «Данные для СТП» для загрузки информации, которая необходима для анализа инцидента специалистами службы технической поддержки (СТП);</w:t>
      </w:r>
    </w:p>
    <w:bookmarkEnd w:id="2648"/>
    <w:p w14:paraId="0E408056">
      <w:pPr>
        <w:pStyle w:val="75"/>
      </w:pPr>
      <w:r>
        <w:t>закрыть предупреждение об ошибке, нажав кнопку «ОК»;</w:t>
      </w:r>
    </w:p>
    <w:p w14:paraId="58121BBF">
      <w:pPr>
        <w:pStyle w:val="75"/>
      </w:pPr>
      <w:r>
        <w:t>скопированную информацию направить в СТП в установленном порядке (см. раздел </w:t>
      </w:r>
      <w:r>
        <w:fldChar w:fldCharType="begin"/>
      </w:r>
      <w:r>
        <w:instrText xml:space="preserve"> REF _Ref163216644 \n \h  \* MERGEFORMAT </w:instrText>
      </w:r>
      <w:r>
        <w:fldChar w:fldCharType="separate"/>
      </w:r>
      <w:r>
        <w:t>7</w:t>
      </w:r>
      <w:r>
        <w:fldChar w:fldCharType="end"/>
      </w:r>
      <w:r>
        <w:t>).</w:t>
      </w:r>
    </w:p>
    <w:bookmarkEnd w:id="2649"/>
    <w:p w14:paraId="3146633E">
      <w:pPr>
        <w:pStyle w:val="69"/>
      </w:pPr>
      <w:r>
        <w:t xml:space="preserve">При успешном создании карточки повторного МЭК текущее состояние изменится на значение «Черновик» (рис. </w:t>
      </w:r>
      <w:r>
        <w:fldChar w:fldCharType="begin"/>
      </w:r>
      <w:r>
        <w:instrText xml:space="preserve"> REF  _Ref163056385 \h\#\0   \* MERGEFORMAT </w:instrText>
      </w:r>
      <w:r>
        <w:fldChar w:fldCharType="separate"/>
      </w:r>
      <w:r>
        <w:t>137</w:t>
      </w:r>
      <w:r>
        <w:fldChar w:fldCharType="end"/>
      </w:r>
      <w:r>
        <w:t>) и в список повторных МЭК добавится новая запись в статусе «Черновик».</w:t>
      </w:r>
    </w:p>
    <w:p w14:paraId="555E0AB7">
      <w:pPr>
        <w:pStyle w:val="69"/>
      </w:pPr>
      <w:r>
        <w:t>Блок общей информации доступен для редактирования по нажатию кнопки «Редактировать».</w:t>
      </w:r>
    </w:p>
    <w:p w14:paraId="0912DBBB">
      <w:pPr>
        <w:pStyle w:val="69"/>
      </w:pPr>
      <w:r>
        <w:t>Для инициации проведения повторного МЭК необходимо нажать кнопку «Сформировать».</w:t>
      </w:r>
    </w:p>
    <w:p w14:paraId="41D339FB">
      <w:pPr>
        <w:pStyle w:val="73"/>
      </w:pPr>
      <w:r>
        <w:drawing>
          <wp:inline distT="0" distB="0" distL="0" distR="0">
            <wp:extent cx="6119495" cy="1199515"/>
            <wp:effectExtent l="19050" t="19050" r="14605" b="19685"/>
            <wp:docPr id="9490929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092970" name="Рисунок 1"/>
                    <pic:cNvPicPr>
                      <a:picLocks noChangeAspect="1"/>
                    </pic:cNvPicPr>
                  </pic:nvPicPr>
                  <pic:blipFill>
                    <a:blip r:embed="rId164"/>
                    <a:stretch>
                      <a:fillRect/>
                    </a:stretch>
                  </pic:blipFill>
                  <pic:spPr>
                    <a:xfrm>
                      <a:off x="0" y="0"/>
                      <a:ext cx="6120000" cy="1199795"/>
                    </a:xfrm>
                    <a:prstGeom prst="rect">
                      <a:avLst/>
                    </a:prstGeom>
                    <a:ln w="3175" cmpd="sng">
                      <a:solidFill>
                        <a:srgbClr val="000000"/>
                      </a:solidFill>
                    </a:ln>
                  </pic:spPr>
                </pic:pic>
              </a:graphicData>
            </a:graphic>
          </wp:inline>
        </w:drawing>
      </w:r>
    </w:p>
    <w:p w14:paraId="545446A2">
      <w:pPr>
        <w:pStyle w:val="74"/>
      </w:pPr>
      <w:bookmarkStart w:id="2650" w:name="_Ref163056385"/>
      <w:r>
        <w:t xml:space="preserve">Рисунок </w:t>
      </w:r>
      <w:r>
        <w:fldChar w:fldCharType="begin"/>
      </w:r>
      <w:r>
        <w:instrText xml:space="preserve"> SEQ Рисунок \* ARABIC </w:instrText>
      </w:r>
      <w:r>
        <w:fldChar w:fldCharType="separate"/>
      </w:r>
      <w:r>
        <w:t>137</w:t>
      </w:r>
      <w:r>
        <w:fldChar w:fldCharType="end"/>
      </w:r>
      <w:bookmarkEnd w:id="2650"/>
      <w:r>
        <w:t xml:space="preserve"> — Повторный МЭК. Статус «Черновик». Инициация проведения</w:t>
      </w:r>
    </w:p>
    <w:p w14:paraId="2E7FCE60">
      <w:pPr>
        <w:pStyle w:val="69"/>
      </w:pPr>
      <w:r>
        <w:t xml:space="preserve">Запустится процесс автоматического проведения МЭК и формирование результатов проведения МЭК (рис. </w:t>
      </w:r>
      <w:r>
        <w:fldChar w:fldCharType="begin"/>
      </w:r>
      <w:r>
        <w:instrText xml:space="preserve"> REF  _Ref202196588 \h \t\#\0   \* MERGEFORMAT </w:instrText>
      </w:r>
      <w:r>
        <w:fldChar w:fldCharType="separate"/>
      </w:r>
      <w:r>
        <w:t>138</w:t>
      </w:r>
      <w:r>
        <w:fldChar w:fldCharType="end"/>
      </w:r>
      <w:r>
        <w:t>), статус изменится на значение «Формирование». До окончания проверок МЭК все действия пользователя по данному повторному МЭК заблокированы, необходимо дождаться завершения процесса.</w:t>
      </w:r>
    </w:p>
    <w:p w14:paraId="7A142B68">
      <w:pPr>
        <w:pStyle w:val="73"/>
      </w:pPr>
      <w:r>
        <w:drawing>
          <wp:inline distT="0" distB="0" distL="0" distR="0">
            <wp:extent cx="5182235" cy="1619250"/>
            <wp:effectExtent l="19050" t="19050" r="18415" b="19050"/>
            <wp:docPr id="8485266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26645" name="Рисунок 1"/>
                    <pic:cNvPicPr>
                      <a:picLocks noChangeAspect="1"/>
                    </pic:cNvPicPr>
                  </pic:nvPicPr>
                  <pic:blipFill>
                    <a:blip r:embed="rId166"/>
                    <a:stretch>
                      <a:fillRect/>
                    </a:stretch>
                  </pic:blipFill>
                  <pic:spPr>
                    <a:xfrm>
                      <a:off x="0" y="0"/>
                      <a:ext cx="5182235" cy="1619250"/>
                    </a:xfrm>
                    <a:prstGeom prst="rect">
                      <a:avLst/>
                    </a:prstGeom>
                    <a:ln w="3175" cmpd="sng">
                      <a:solidFill>
                        <a:srgbClr val="000000"/>
                      </a:solidFill>
                    </a:ln>
                  </pic:spPr>
                </pic:pic>
              </a:graphicData>
            </a:graphic>
          </wp:inline>
        </w:drawing>
      </w:r>
    </w:p>
    <w:p w14:paraId="0E56CF64">
      <w:pPr>
        <w:pStyle w:val="74"/>
      </w:pPr>
      <w:bookmarkStart w:id="2651" w:name="_Ref202196588"/>
      <w:r>
        <w:t xml:space="preserve">Рисунок </w:t>
      </w:r>
      <w:r>
        <w:fldChar w:fldCharType="begin"/>
      </w:r>
      <w:r>
        <w:instrText xml:space="preserve"> SEQ Рисунок \* ARABIC </w:instrText>
      </w:r>
      <w:r>
        <w:fldChar w:fldCharType="separate"/>
      </w:r>
      <w:r>
        <w:t>138</w:t>
      </w:r>
      <w:r>
        <w:fldChar w:fldCharType="end"/>
      </w:r>
      <w:bookmarkEnd w:id="2651"/>
      <w:r>
        <w:t xml:space="preserve"> — Подтверждение успешной отправки повторного МЭК на формирование</w:t>
      </w:r>
    </w:p>
    <w:p w14:paraId="177C8399">
      <w:pPr>
        <w:pStyle w:val="69"/>
      </w:pPr>
      <w:r>
        <w:t xml:space="preserve">По окончании выполнения проверок МЭК и формирования результатов статус изменится на значение «Сформирован» (рис. </w:t>
      </w:r>
      <w:r>
        <w:fldChar w:fldCharType="begin"/>
      </w:r>
      <w:r>
        <w:instrText xml:space="preserve"> REF  _Ref163225505 \h\#\0   \* MERGEFORMAT </w:instrText>
      </w:r>
      <w:r>
        <w:fldChar w:fldCharType="separate"/>
      </w:r>
      <w:r>
        <w:t>139</w:t>
      </w:r>
      <w:r>
        <w:fldChar w:fldCharType="end"/>
      </w:r>
      <w:r>
        <w:t>). В блоке «Дельта» отображаются результаты МЭК, в блоке «Отчетные документы» отображаются сформированные отчетные документы.</w:t>
      </w:r>
    </w:p>
    <w:p w14:paraId="64402F0D">
      <w:pPr>
        <w:pStyle w:val="73"/>
      </w:pPr>
      <w:r>
        <w:drawing>
          <wp:inline distT="0" distB="0" distL="0" distR="0">
            <wp:extent cx="6119495" cy="2740025"/>
            <wp:effectExtent l="19050" t="19050" r="14605" b="22225"/>
            <wp:docPr id="10835917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591700" name="Рисунок 1"/>
                    <pic:cNvPicPr>
                      <a:picLocks noChangeAspect="1"/>
                    </pic:cNvPicPr>
                  </pic:nvPicPr>
                  <pic:blipFill>
                    <a:blip r:embed="rId167"/>
                    <a:stretch>
                      <a:fillRect/>
                    </a:stretch>
                  </pic:blipFill>
                  <pic:spPr>
                    <a:xfrm>
                      <a:off x="0" y="0"/>
                      <a:ext cx="6120000" cy="2740175"/>
                    </a:xfrm>
                    <a:prstGeom prst="rect">
                      <a:avLst/>
                    </a:prstGeom>
                    <a:ln w="3175" cmpd="sng">
                      <a:solidFill>
                        <a:srgbClr val="000000"/>
                      </a:solidFill>
                    </a:ln>
                  </pic:spPr>
                </pic:pic>
              </a:graphicData>
            </a:graphic>
          </wp:inline>
        </w:drawing>
      </w:r>
    </w:p>
    <w:p w14:paraId="7409B909">
      <w:pPr>
        <w:pStyle w:val="74"/>
      </w:pPr>
      <w:bookmarkStart w:id="2652" w:name="_Ref163225505"/>
      <w:r>
        <w:t xml:space="preserve">Рисунок </w:t>
      </w:r>
      <w:r>
        <w:fldChar w:fldCharType="begin"/>
      </w:r>
      <w:r>
        <w:instrText xml:space="preserve"> SEQ Рисунок \* ARABIC </w:instrText>
      </w:r>
      <w:r>
        <w:fldChar w:fldCharType="separate"/>
      </w:r>
      <w:r>
        <w:t>139</w:t>
      </w:r>
      <w:r>
        <w:fldChar w:fldCharType="end"/>
      </w:r>
      <w:bookmarkEnd w:id="2652"/>
      <w:r>
        <w:t xml:space="preserve"> — Повторный МЭК. Статус «Сформирован»</w:t>
      </w:r>
    </w:p>
    <w:p w14:paraId="0ACB7539">
      <w:pPr>
        <w:pStyle w:val="69"/>
      </w:pPr>
      <w:r>
        <w:t>В блоке «Дельта» отображаются СЭФД, результаты МЭК по которым отличаются от полученных в рамках предыдущей учтенной проверки МЭК.</w:t>
      </w:r>
    </w:p>
    <w:p w14:paraId="3A5CCC39">
      <w:pPr>
        <w:pStyle w:val="69"/>
      </w:pPr>
      <w:r>
        <w:t>В блоке «Отчетные документы» отображаются записи о сформированных отчетных документах:</w:t>
      </w:r>
    </w:p>
    <w:p w14:paraId="1513693F">
      <w:pPr>
        <w:pStyle w:val="76"/>
      </w:pPr>
      <w:r>
        <w:t>Заключение по результатам медико-экономического контроля;</w:t>
      </w:r>
    </w:p>
    <w:p w14:paraId="24B954C1">
      <w:pPr>
        <w:pStyle w:val="76"/>
      </w:pPr>
      <w:r>
        <w:t>Реестр заключений по результатам медико-экономического контроля.</w:t>
      </w:r>
    </w:p>
    <w:p w14:paraId="0D684226">
      <w:pPr>
        <w:pStyle w:val="69"/>
      </w:pPr>
      <w:r>
        <w:t xml:space="preserve">В случае ошибки при выполнении МЭК статус изменяется на значение «Ошибка формирования» (рис. </w:t>
      </w:r>
      <w:r>
        <w:fldChar w:fldCharType="begin"/>
      </w:r>
      <w:r>
        <w:instrText xml:space="preserve"> REF  _Ref163226215 \h\#\0   \* MERGEFORMAT </w:instrText>
      </w:r>
      <w:r>
        <w:fldChar w:fldCharType="separate"/>
      </w:r>
      <w:r>
        <w:t>140</w:t>
      </w:r>
      <w:r>
        <w:fldChar w:fldCharType="end"/>
      </w:r>
      <w:r>
        <w:t>).</w:t>
      </w:r>
    </w:p>
    <w:p w14:paraId="1830CE00">
      <w:pPr>
        <w:pStyle w:val="73"/>
      </w:pPr>
      <w:r>
        <w:drawing>
          <wp:inline distT="0" distB="0" distL="0" distR="0">
            <wp:extent cx="6119495" cy="1263650"/>
            <wp:effectExtent l="19050" t="19050" r="14605" b="12700"/>
            <wp:docPr id="14689878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987853" name="Рисунок 1"/>
                    <pic:cNvPicPr>
                      <a:picLocks noChangeAspect="1"/>
                    </pic:cNvPicPr>
                  </pic:nvPicPr>
                  <pic:blipFill>
                    <a:blip r:embed="rId168"/>
                    <a:stretch>
                      <a:fillRect/>
                    </a:stretch>
                  </pic:blipFill>
                  <pic:spPr>
                    <a:xfrm>
                      <a:off x="0" y="0"/>
                      <a:ext cx="6119495" cy="1263650"/>
                    </a:xfrm>
                    <a:prstGeom prst="rect">
                      <a:avLst/>
                    </a:prstGeom>
                    <a:ln w="3175" cmpd="sng">
                      <a:solidFill>
                        <a:srgbClr val="000000"/>
                      </a:solidFill>
                    </a:ln>
                  </pic:spPr>
                </pic:pic>
              </a:graphicData>
            </a:graphic>
          </wp:inline>
        </w:drawing>
      </w:r>
    </w:p>
    <w:p w14:paraId="4146887F">
      <w:pPr>
        <w:pStyle w:val="74"/>
      </w:pPr>
      <w:bookmarkStart w:id="2653" w:name="_Ref163226215"/>
      <w:r>
        <w:t xml:space="preserve">Рисунок </w:t>
      </w:r>
      <w:r>
        <w:fldChar w:fldCharType="begin"/>
      </w:r>
      <w:r>
        <w:instrText xml:space="preserve"> SEQ Рисунок \* ARABIC </w:instrText>
      </w:r>
      <w:r>
        <w:fldChar w:fldCharType="separate"/>
      </w:r>
      <w:r>
        <w:t>140</w:t>
      </w:r>
      <w:r>
        <w:fldChar w:fldCharType="end"/>
      </w:r>
      <w:bookmarkEnd w:id="2653"/>
      <w:r>
        <w:t xml:space="preserve"> — Повторный МЭК. Ошибка формирования</w:t>
      </w:r>
    </w:p>
    <w:p w14:paraId="4358C647">
      <w:pPr>
        <w:pStyle w:val="69"/>
      </w:pPr>
      <w:r>
        <w:t>Для повторного МЭК в статусе «Ошибка формирования» возможны следующие действия:</w:t>
      </w:r>
    </w:p>
    <w:p w14:paraId="069C398D">
      <w:pPr>
        <w:pStyle w:val="76"/>
      </w:pPr>
      <w:r>
        <w:t>«Отменить» — запись переходит в статус «Отменена», данные дельты не попадают в </w:t>
      </w:r>
      <w:r>
        <w:rPr>
          <w:lang w:val="en-US"/>
        </w:rPr>
        <w:t>ME</w:t>
      </w:r>
      <w:r>
        <w:t>-файл, дальнейшая работа с данной записью невозможна;</w:t>
      </w:r>
    </w:p>
    <w:p w14:paraId="3FBB6E54">
      <w:pPr>
        <w:pStyle w:val="76"/>
      </w:pPr>
      <w:r>
        <w:t>«Сбросить» — запись переходит в статус «Сброшена», удаляется дельта и сформированные документы. После этого возможно повторное формирование.</w:t>
      </w:r>
    </w:p>
    <w:p w14:paraId="7BAAF5D9">
      <w:pPr>
        <w:pStyle w:val="60"/>
      </w:pPr>
      <w:bookmarkStart w:id="2654" w:name="_Toc205824322"/>
      <w:bookmarkStart w:id="2655" w:name="_Ref206016179"/>
      <w:bookmarkStart w:id="2656" w:name="_Toc225866364"/>
      <w:r>
        <w:t>Подписание документов повторного МЭК</w:t>
      </w:r>
      <w:bookmarkEnd w:id="2654"/>
      <w:bookmarkEnd w:id="2655"/>
      <w:bookmarkEnd w:id="2656"/>
    </w:p>
    <w:p w14:paraId="550A782E">
      <w:pPr>
        <w:pStyle w:val="69"/>
      </w:pPr>
      <w:r>
        <w:t>Операция доступна пользователю с ролью Администратор счетов субъекта.</w:t>
      </w:r>
    </w:p>
    <w:p w14:paraId="0F928768">
      <w:pPr>
        <w:pStyle w:val="69"/>
      </w:pPr>
      <w:r>
        <w:t>Перед публикацией повторного МЭК необходимо подписать все отчетные документы:</w:t>
      </w:r>
    </w:p>
    <w:p w14:paraId="5083EBEF">
      <w:pPr>
        <w:pStyle w:val="76"/>
      </w:pPr>
      <w:bookmarkStart w:id="2657" w:name="_Hlk205801062"/>
      <w:r>
        <w:t>Заключение о результатах медико-экономического контроля;</w:t>
      </w:r>
    </w:p>
    <w:p w14:paraId="7ABAC9EB">
      <w:pPr>
        <w:pStyle w:val="76"/>
      </w:pPr>
      <w:r>
        <w:t>Реестр заключений о результатах медико-экономического контроля.</w:t>
      </w:r>
    </w:p>
    <w:bookmarkEnd w:id="2657"/>
    <w:p w14:paraId="2E313CF2">
      <w:pPr>
        <w:pStyle w:val="69"/>
      </w:pPr>
      <w:bookmarkStart w:id="2658" w:name="_Hlk205801095"/>
      <w:r>
        <w:t xml:space="preserve">Скачать для просмотра сформированные отчетные документы можно по нажатию «Скачать» </w:t>
      </w:r>
      <w:r>
        <w:drawing>
          <wp:inline distT="0" distB="0" distL="0" distR="0">
            <wp:extent cx="152400" cy="152400"/>
            <wp:effectExtent l="19050" t="19050" r="19050" b="19050"/>
            <wp:docPr id="6535016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501631" name="Рисунок 1"/>
                    <pic:cNvPicPr>
                      <a:picLocks noChangeAspect="1"/>
                    </pic:cNvPicPr>
                  </pic:nvPicPr>
                  <pic:blipFill>
                    <a:blip r:embed="rId161"/>
                    <a:stretch>
                      <a:fillRect/>
                    </a:stretch>
                  </pic:blipFill>
                  <pic:spPr>
                    <a:xfrm>
                      <a:off x="0" y="0"/>
                      <a:ext cx="152421" cy="152421"/>
                    </a:xfrm>
                    <a:prstGeom prst="rect">
                      <a:avLst/>
                    </a:prstGeom>
                    <a:ln w="3175" cmpd="sng">
                      <a:solidFill>
                        <a:srgbClr val="000000"/>
                      </a:solidFill>
                    </a:ln>
                  </pic:spPr>
                </pic:pic>
              </a:graphicData>
            </a:graphic>
          </wp:inline>
        </w:drawing>
      </w:r>
      <w:r>
        <w:t xml:space="preserve"> в столбце «Файл» (рис. </w:t>
      </w:r>
      <w:r>
        <w:fldChar w:fldCharType="begin"/>
      </w:r>
      <w:r>
        <w:instrText xml:space="preserve"> REF  _Ref182931234 \h \#\0 \* MERGEFORMAT </w:instrText>
      </w:r>
      <w:r>
        <w:fldChar w:fldCharType="separate"/>
      </w:r>
      <w:r>
        <w:t>148</w:t>
      </w:r>
      <w:r>
        <w:fldChar w:fldCharType="end"/>
      </w:r>
      <w:r>
        <w:t>).</w:t>
      </w:r>
    </w:p>
    <w:p w14:paraId="58CFADE6">
      <w:pPr>
        <w:pStyle w:val="73"/>
      </w:pPr>
      <w:r>
        <w:drawing>
          <wp:inline distT="0" distB="0" distL="0" distR="0">
            <wp:extent cx="5143500" cy="869950"/>
            <wp:effectExtent l="19050" t="19050" r="19050" b="25400"/>
            <wp:docPr id="2591478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147896" name="Рисунок 1"/>
                    <pic:cNvPicPr>
                      <a:picLocks noChangeAspect="1"/>
                    </pic:cNvPicPr>
                  </pic:nvPicPr>
                  <pic:blipFill>
                    <a:blip r:embed="rId169"/>
                    <a:stretch>
                      <a:fillRect/>
                    </a:stretch>
                  </pic:blipFill>
                  <pic:spPr>
                    <a:xfrm>
                      <a:off x="0" y="0"/>
                      <a:ext cx="5143500" cy="869950"/>
                    </a:xfrm>
                    <a:prstGeom prst="rect">
                      <a:avLst/>
                    </a:prstGeom>
                    <a:ln w="3175" cmpd="sng">
                      <a:solidFill>
                        <a:srgbClr val="000000"/>
                      </a:solidFill>
                    </a:ln>
                  </pic:spPr>
                </pic:pic>
              </a:graphicData>
            </a:graphic>
          </wp:inline>
        </w:drawing>
      </w:r>
    </w:p>
    <w:p w14:paraId="33D3FCDE">
      <w:pPr>
        <w:pStyle w:val="74"/>
      </w:pPr>
      <w:r>
        <w:t xml:space="preserve">Рисунок </w:t>
      </w:r>
      <w:r>
        <w:fldChar w:fldCharType="begin"/>
      </w:r>
      <w:r>
        <w:instrText xml:space="preserve"> SEQ Рисунок \* ARABIC </w:instrText>
      </w:r>
      <w:r>
        <w:fldChar w:fldCharType="separate"/>
      </w:r>
      <w:r>
        <w:t>141</w:t>
      </w:r>
      <w:r>
        <w:fldChar w:fldCharType="end"/>
      </w:r>
      <w:r>
        <w:t xml:space="preserve"> — Скачивание отчетных документов повторного МЭК</w:t>
      </w:r>
    </w:p>
    <w:bookmarkEnd w:id="2658"/>
    <w:p w14:paraId="4ABDD612">
      <w:pPr>
        <w:pStyle w:val="69"/>
      </w:pPr>
      <w:bookmarkStart w:id="2659" w:name="_Hlk205801181"/>
      <w:r>
        <w:t>Чтобы подписать с применением ЭЦП сформированные документы, необходимо нажать кнопку «Подписать» в правом верхнем углу.</w:t>
      </w:r>
    </w:p>
    <w:bookmarkEnd w:id="2659"/>
    <w:p w14:paraId="6EA56D79">
      <w:pPr>
        <w:pStyle w:val="69"/>
      </w:pPr>
      <w:bookmarkStart w:id="2660" w:name="_Hlk205801223"/>
      <w:r>
        <w:t xml:space="preserve">В форме «Выберите подпись» выбрать сертификат пользователя из выпадающего списка и нажать на кнопку «Подписать» (рис. </w:t>
      </w:r>
      <w:r>
        <w:fldChar w:fldCharType="begin"/>
      </w:r>
      <w:r>
        <w:instrText xml:space="preserve"> REF  _Ref202197445 \h \#\0 \* MERGEFORMAT </w:instrText>
      </w:r>
      <w:r>
        <w:fldChar w:fldCharType="separate"/>
      </w:r>
      <w:r>
        <w:t>142</w:t>
      </w:r>
      <w:r>
        <w:fldChar w:fldCharType="end"/>
      </w:r>
      <w:r>
        <w:t>).</w:t>
      </w:r>
    </w:p>
    <w:p w14:paraId="49D1D72E">
      <w:pPr>
        <w:pStyle w:val="73"/>
      </w:pPr>
      <w:r>
        <w:drawing>
          <wp:inline distT="0" distB="0" distL="0" distR="0">
            <wp:extent cx="5114290" cy="2058035"/>
            <wp:effectExtent l="19050" t="19050" r="10160" b="18415"/>
            <wp:docPr id="18075748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74889" name="Рисунок 1"/>
                    <pic:cNvPicPr>
                      <a:picLocks noChangeAspect="1"/>
                    </pic:cNvPicPr>
                  </pic:nvPicPr>
                  <pic:blipFill>
                    <a:blip r:embed="rId170"/>
                    <a:stretch>
                      <a:fillRect/>
                    </a:stretch>
                  </pic:blipFill>
                  <pic:spPr>
                    <a:xfrm>
                      <a:off x="0" y="0"/>
                      <a:ext cx="5114290" cy="2058035"/>
                    </a:xfrm>
                    <a:prstGeom prst="rect">
                      <a:avLst/>
                    </a:prstGeom>
                    <a:ln w="3175" cmpd="sng">
                      <a:solidFill>
                        <a:srgbClr val="000000"/>
                      </a:solidFill>
                    </a:ln>
                  </pic:spPr>
                </pic:pic>
              </a:graphicData>
            </a:graphic>
          </wp:inline>
        </w:drawing>
      </w:r>
    </w:p>
    <w:p w14:paraId="51F17D36">
      <w:pPr>
        <w:pStyle w:val="74"/>
      </w:pPr>
      <w:bookmarkStart w:id="2661" w:name="_Ref202197445"/>
      <w:r>
        <w:t xml:space="preserve">Рисунок </w:t>
      </w:r>
      <w:r>
        <w:fldChar w:fldCharType="begin"/>
      </w:r>
      <w:r>
        <w:instrText xml:space="preserve"> SEQ Рисунок \* ARABIC </w:instrText>
      </w:r>
      <w:r>
        <w:fldChar w:fldCharType="separate"/>
      </w:r>
      <w:r>
        <w:t>142</w:t>
      </w:r>
      <w:r>
        <w:fldChar w:fldCharType="end"/>
      </w:r>
      <w:bookmarkEnd w:id="2661"/>
      <w:r>
        <w:t xml:space="preserve"> — Выбор сертификата для подписания документов</w:t>
      </w:r>
    </w:p>
    <w:p w14:paraId="54B21C8B">
      <w:pPr>
        <w:pStyle w:val="69"/>
      </w:pPr>
      <w:r>
        <w:t xml:space="preserve">По завершении процесса подписания статус повторного МЭК изменится на значение «Подписан» (рис. </w:t>
      </w:r>
      <w:r>
        <w:fldChar w:fldCharType="begin"/>
      </w:r>
      <w:r>
        <w:instrText xml:space="preserve"> REF  _Ref205912255 \h \t\#\0   \* MERGEFORMAT </w:instrText>
      </w:r>
      <w:r>
        <w:fldChar w:fldCharType="separate"/>
      </w:r>
      <w:r>
        <w:t>143</w:t>
      </w:r>
      <w:r>
        <w:fldChar w:fldCharType="end"/>
      </w:r>
      <w:r>
        <w:t>).</w:t>
      </w:r>
    </w:p>
    <w:p w14:paraId="4FFDF276">
      <w:pPr>
        <w:pStyle w:val="73"/>
      </w:pPr>
      <w:r>
        <w:drawing>
          <wp:inline distT="0" distB="0" distL="0" distR="0">
            <wp:extent cx="6119495" cy="931545"/>
            <wp:effectExtent l="19050" t="19050" r="14605" b="20955"/>
            <wp:docPr id="15995244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524456" name="Рисунок 1"/>
                    <pic:cNvPicPr>
                      <a:picLocks noChangeAspect="1"/>
                    </pic:cNvPicPr>
                  </pic:nvPicPr>
                  <pic:blipFill>
                    <a:blip r:embed="rId171"/>
                    <a:stretch>
                      <a:fillRect/>
                    </a:stretch>
                  </pic:blipFill>
                  <pic:spPr>
                    <a:xfrm>
                      <a:off x="0" y="0"/>
                      <a:ext cx="6120000" cy="932136"/>
                    </a:xfrm>
                    <a:prstGeom prst="rect">
                      <a:avLst/>
                    </a:prstGeom>
                    <a:ln w="3175" cmpd="sng">
                      <a:solidFill>
                        <a:srgbClr val="000000"/>
                      </a:solidFill>
                    </a:ln>
                  </pic:spPr>
                </pic:pic>
              </a:graphicData>
            </a:graphic>
          </wp:inline>
        </w:drawing>
      </w:r>
    </w:p>
    <w:p w14:paraId="5C4B7D45">
      <w:pPr>
        <w:pStyle w:val="74"/>
      </w:pPr>
      <w:bookmarkStart w:id="2662" w:name="_Ref205912255"/>
      <w:r>
        <w:t xml:space="preserve">Рисунок </w:t>
      </w:r>
      <w:r>
        <w:fldChar w:fldCharType="begin"/>
      </w:r>
      <w:r>
        <w:instrText xml:space="preserve"> SEQ Рисунок \* ARABIC </w:instrText>
      </w:r>
      <w:r>
        <w:fldChar w:fldCharType="separate"/>
      </w:r>
      <w:r>
        <w:t>143</w:t>
      </w:r>
      <w:r>
        <w:fldChar w:fldCharType="end"/>
      </w:r>
      <w:bookmarkEnd w:id="2662"/>
      <w:r>
        <w:t xml:space="preserve"> — Повторный МЭК. Статус «Подписан»</w:t>
      </w:r>
    </w:p>
    <w:p w14:paraId="700C234E">
      <w:pPr>
        <w:pStyle w:val="60"/>
      </w:pPr>
      <w:bookmarkStart w:id="2663" w:name="_Ref166668840"/>
      <w:bookmarkStart w:id="2664" w:name="_Toc171344474"/>
      <w:bookmarkStart w:id="2665" w:name="_Toc225866365"/>
      <w:r>
        <w:t>Публикация повторного МЭК</w:t>
      </w:r>
      <w:bookmarkEnd w:id="2663"/>
      <w:bookmarkEnd w:id="2664"/>
      <w:bookmarkEnd w:id="2665"/>
    </w:p>
    <w:bookmarkEnd w:id="2660"/>
    <w:p w14:paraId="3BE62308">
      <w:pPr>
        <w:pStyle w:val="69"/>
      </w:pPr>
      <w:bookmarkStart w:id="2666" w:name="_Hlk205801348"/>
      <w:r>
        <w:t>Операция доступна пользователю с ролью Администратор счетов субъекта.</w:t>
      </w:r>
    </w:p>
    <w:p w14:paraId="2A9393BF">
      <w:pPr>
        <w:pStyle w:val="69"/>
      </w:pPr>
      <w:r>
        <w:t>Чтобы опубликовать повторный МЭК, необходимо убедиться, что статус всех отчетных документов имеет значение «Подписан», и нажать кнопку «Опубликовать» (рис.</w:t>
      </w:r>
      <w:r>
        <w:rPr>
          <w:lang w:val="en-US"/>
        </w:rPr>
        <w:t> </w:t>
      </w:r>
      <w:r>
        <w:fldChar w:fldCharType="begin"/>
      </w:r>
      <w:r>
        <w:instrText xml:space="preserve"> REF  _Ref202806659 \h\#\0   \* MERGEFORMAT </w:instrText>
      </w:r>
      <w:r>
        <w:fldChar w:fldCharType="separate"/>
      </w:r>
      <w:r>
        <w:t>144</w:t>
      </w:r>
      <w:r>
        <w:fldChar w:fldCharType="end"/>
      </w:r>
      <w:r>
        <w:t>).</w:t>
      </w:r>
    </w:p>
    <w:p w14:paraId="1C700E88">
      <w:pPr>
        <w:pStyle w:val="73"/>
      </w:pPr>
      <w:r>
        <w:drawing>
          <wp:inline distT="0" distB="0" distL="0" distR="0">
            <wp:extent cx="5759450" cy="1702435"/>
            <wp:effectExtent l="19050" t="19050" r="12700" b="12065"/>
            <wp:docPr id="16707437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743725" name="Рисунок 1"/>
                    <pic:cNvPicPr>
                      <a:picLocks noChangeAspect="1"/>
                    </pic:cNvPicPr>
                  </pic:nvPicPr>
                  <pic:blipFill>
                    <a:blip r:embed="rId172"/>
                    <a:stretch>
                      <a:fillRect/>
                    </a:stretch>
                  </pic:blipFill>
                  <pic:spPr>
                    <a:xfrm>
                      <a:off x="0" y="0"/>
                      <a:ext cx="5760000" cy="1702615"/>
                    </a:xfrm>
                    <a:prstGeom prst="rect">
                      <a:avLst/>
                    </a:prstGeom>
                    <a:ln w="3175" cmpd="sng">
                      <a:solidFill>
                        <a:srgbClr val="000000"/>
                      </a:solidFill>
                    </a:ln>
                  </pic:spPr>
                </pic:pic>
              </a:graphicData>
            </a:graphic>
          </wp:inline>
        </w:drawing>
      </w:r>
    </w:p>
    <w:p w14:paraId="77195014">
      <w:pPr>
        <w:pStyle w:val="74"/>
      </w:pPr>
      <w:bookmarkStart w:id="2667" w:name="_Ref202806659"/>
      <w:r>
        <w:t xml:space="preserve">Рисунок </w:t>
      </w:r>
      <w:r>
        <w:fldChar w:fldCharType="begin"/>
      </w:r>
      <w:r>
        <w:instrText xml:space="preserve"> SEQ Рисунок \* ARABIC </w:instrText>
      </w:r>
      <w:r>
        <w:fldChar w:fldCharType="separate"/>
      </w:r>
      <w:r>
        <w:t>144</w:t>
      </w:r>
      <w:r>
        <w:fldChar w:fldCharType="end"/>
      </w:r>
      <w:bookmarkEnd w:id="2667"/>
      <w:r>
        <w:t xml:space="preserve"> — Публикация повторного МЭК</w:t>
      </w:r>
    </w:p>
    <w:p w14:paraId="4299BB11">
      <w:pPr>
        <w:pStyle w:val="69"/>
      </w:pPr>
      <w:r>
        <w:t xml:space="preserve">После подтверждения успешной публикации повторного МЭК (рис. </w:t>
      </w:r>
      <w:r>
        <w:fldChar w:fldCharType="begin"/>
      </w:r>
      <w:r>
        <w:instrText xml:space="preserve"> REF  _Ref202197934 \h \t\#\0   \* MERGEFORMAT </w:instrText>
      </w:r>
      <w:r>
        <w:fldChar w:fldCharType="separate"/>
      </w:r>
      <w:r>
        <w:t>145</w:t>
      </w:r>
      <w:r>
        <w:fldChar w:fldCharType="end"/>
      </w:r>
      <w:r>
        <w:t>) статус изменится на значение «Опубликован». Опубликованная запись будет доступна для просмотра медицинской организации.</w:t>
      </w:r>
    </w:p>
    <w:p w14:paraId="403A813A">
      <w:pPr>
        <w:pStyle w:val="73"/>
      </w:pPr>
      <w:r>
        <w:drawing>
          <wp:inline distT="0" distB="0" distL="0" distR="0">
            <wp:extent cx="5759450" cy="1647190"/>
            <wp:effectExtent l="19050" t="19050" r="12700" b="10160"/>
            <wp:docPr id="6318793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79356" name="Рисунок 1"/>
                    <pic:cNvPicPr>
                      <a:picLocks noChangeAspect="1"/>
                    </pic:cNvPicPr>
                  </pic:nvPicPr>
                  <pic:blipFill>
                    <a:blip r:embed="rId173"/>
                    <a:stretch>
                      <a:fillRect/>
                    </a:stretch>
                  </pic:blipFill>
                  <pic:spPr>
                    <a:xfrm>
                      <a:off x="0" y="0"/>
                      <a:ext cx="5760000" cy="1647250"/>
                    </a:xfrm>
                    <a:prstGeom prst="rect">
                      <a:avLst/>
                    </a:prstGeom>
                    <a:ln w="3175" cmpd="sng">
                      <a:solidFill>
                        <a:srgbClr val="000000"/>
                      </a:solidFill>
                    </a:ln>
                  </pic:spPr>
                </pic:pic>
              </a:graphicData>
            </a:graphic>
          </wp:inline>
        </w:drawing>
      </w:r>
    </w:p>
    <w:p w14:paraId="70BC6B93">
      <w:pPr>
        <w:pStyle w:val="74"/>
      </w:pPr>
      <w:bookmarkStart w:id="2668" w:name="_Ref202197934"/>
      <w:r>
        <w:t xml:space="preserve">Рисунок </w:t>
      </w:r>
      <w:r>
        <w:fldChar w:fldCharType="begin"/>
      </w:r>
      <w:r>
        <w:instrText xml:space="preserve"> SEQ Рисунок \* ARABIC </w:instrText>
      </w:r>
      <w:r>
        <w:fldChar w:fldCharType="separate"/>
      </w:r>
      <w:r>
        <w:t>145</w:t>
      </w:r>
      <w:r>
        <w:fldChar w:fldCharType="end"/>
      </w:r>
      <w:bookmarkEnd w:id="2668"/>
      <w:r>
        <w:t xml:space="preserve"> — Подтверждение публикации повторного МЭК</w:t>
      </w:r>
    </w:p>
    <w:p w14:paraId="0A8F24CE">
      <w:pPr>
        <w:pStyle w:val="69"/>
      </w:pPr>
      <w:r>
        <w:t>После успешной публикации повторного МЭК</w:t>
      </w:r>
      <w:bookmarkEnd w:id="2666"/>
      <w:r>
        <w:t xml:space="preserve"> повторного МЭК необходимо нажать кнопку «Закрыть». Статус изменится на значение «Закрыт» (рис. </w:t>
      </w:r>
      <w:r>
        <w:fldChar w:fldCharType="begin"/>
      </w:r>
      <w:r>
        <w:instrText xml:space="preserve"> REF  _Ref205912621 \h \t\#\0   \* MERGEFORMAT </w:instrText>
      </w:r>
      <w:r>
        <w:fldChar w:fldCharType="separate"/>
      </w:r>
      <w:r>
        <w:t>146</w:t>
      </w:r>
      <w:r>
        <w:fldChar w:fldCharType="end"/>
      </w:r>
      <w:r>
        <w:t>).</w:t>
      </w:r>
    </w:p>
    <w:p w14:paraId="3083B7EC">
      <w:pPr>
        <w:pStyle w:val="73"/>
      </w:pPr>
      <w:r>
        <w:drawing>
          <wp:inline distT="0" distB="0" distL="0" distR="0">
            <wp:extent cx="6119495" cy="1565910"/>
            <wp:effectExtent l="19050" t="19050" r="14605" b="15240"/>
            <wp:docPr id="11371898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189843" name="Рисунок 1"/>
                    <pic:cNvPicPr>
                      <a:picLocks noChangeAspect="1"/>
                    </pic:cNvPicPr>
                  </pic:nvPicPr>
                  <pic:blipFill>
                    <a:blip r:embed="rId174"/>
                    <a:stretch>
                      <a:fillRect/>
                    </a:stretch>
                  </pic:blipFill>
                  <pic:spPr>
                    <a:xfrm>
                      <a:off x="0" y="0"/>
                      <a:ext cx="6119495" cy="1565910"/>
                    </a:xfrm>
                    <a:prstGeom prst="rect">
                      <a:avLst/>
                    </a:prstGeom>
                    <a:ln w="3175" cmpd="sng">
                      <a:solidFill>
                        <a:srgbClr val="000000"/>
                      </a:solidFill>
                    </a:ln>
                  </pic:spPr>
                </pic:pic>
              </a:graphicData>
            </a:graphic>
          </wp:inline>
        </w:drawing>
      </w:r>
    </w:p>
    <w:p w14:paraId="48339E58">
      <w:pPr>
        <w:pStyle w:val="74"/>
      </w:pPr>
      <w:bookmarkStart w:id="2669" w:name="_Ref205912621"/>
      <w:r>
        <w:t xml:space="preserve">Рисунок </w:t>
      </w:r>
      <w:r>
        <w:fldChar w:fldCharType="begin"/>
      </w:r>
      <w:r>
        <w:instrText xml:space="preserve"> SEQ Рисунок \* ARABIC </w:instrText>
      </w:r>
      <w:r>
        <w:fldChar w:fldCharType="separate"/>
      </w:r>
      <w:r>
        <w:t>146</w:t>
      </w:r>
      <w:r>
        <w:fldChar w:fldCharType="end"/>
      </w:r>
      <w:bookmarkEnd w:id="2669"/>
      <w:r>
        <w:t xml:space="preserve"> — Повторный МЭК. Статус «Закрыт»</w:t>
      </w:r>
    </w:p>
    <w:p w14:paraId="202EFE6B">
      <w:pPr>
        <w:pStyle w:val="69"/>
      </w:pPr>
      <w:r>
        <w:t xml:space="preserve">После закрытия МЭК данные дельты автоматически включаются в </w:t>
      </w:r>
      <w:r>
        <w:rPr>
          <w:lang w:val="en-US"/>
        </w:rPr>
        <w:t>ME</w:t>
      </w:r>
      <w:r>
        <w:t>-файл финального ответа плательщика, при формировании финального ответа, направляемого в МО в ближайший отчетный период. Дальнейшие действия с записью повторного МЭК заблокированы.</w:t>
      </w:r>
    </w:p>
    <w:p w14:paraId="7BFED965">
      <w:pPr>
        <w:pStyle w:val="58"/>
        <w:rPr>
          <w:lang w:val="en-US"/>
        </w:rPr>
      </w:pPr>
      <w:bookmarkStart w:id="2670" w:name="_Ref182941217"/>
      <w:bookmarkStart w:id="2671" w:name="_Toc225866366"/>
      <w:r>
        <w:t>Учет доступности коечного фонда</w:t>
      </w:r>
      <w:bookmarkEnd w:id="2670"/>
      <w:bookmarkEnd w:id="2671"/>
    </w:p>
    <w:p w14:paraId="08064134">
      <w:pPr>
        <w:pStyle w:val="69"/>
      </w:pPr>
      <w:bookmarkStart w:id="2672" w:name="_Hlk182930860"/>
      <w:r>
        <w:t>Просмотр данных о коечном фонде МО, входящих в территорию субъекта ТФОМС, а также формирование отчета о доступности коечного фонда могут выполнять сотрудники ТФОМС со следующими ролями:</w:t>
      </w:r>
    </w:p>
    <w:p w14:paraId="19511779">
      <w:pPr>
        <w:pStyle w:val="76"/>
      </w:pPr>
      <w:r>
        <w:t>Плательщик ТФОМС;</w:t>
      </w:r>
    </w:p>
    <w:p w14:paraId="56FE2CE9">
      <w:pPr>
        <w:pStyle w:val="76"/>
      </w:pPr>
      <w:r>
        <w:t>Куратор по СМО;</w:t>
      </w:r>
    </w:p>
    <w:p w14:paraId="5A68F5FC">
      <w:pPr>
        <w:pStyle w:val="76"/>
      </w:pPr>
      <w:r>
        <w:t>Куратор по МО.</w:t>
      </w:r>
    </w:p>
    <w:p w14:paraId="25935C67">
      <w:pPr>
        <w:pStyle w:val="69"/>
      </w:pPr>
      <w:r>
        <w:t xml:space="preserve">Данные коечного фонда МО представлены в подразделе «Коечный фонд». Для перехода в подраздел в ленте главного меню раскрыть меню «Все разделы» и выбрать в разделе «Организационно-штатная структура» пункт «Коечный фонд» (рис. </w:t>
      </w:r>
      <w:r>
        <w:fldChar w:fldCharType="begin"/>
      </w:r>
      <w:r>
        <w:instrText xml:space="preserve"> REF  _Ref182931183 \h \t\#\0 \* MERGEFORMAT </w:instrText>
      </w:r>
      <w:r>
        <w:fldChar w:fldCharType="separate"/>
      </w:r>
      <w:r>
        <w:t>147</w:t>
      </w:r>
      <w:r>
        <w:fldChar w:fldCharType="end"/>
      </w:r>
      <w:r>
        <w:t>).</w:t>
      </w:r>
    </w:p>
    <w:p w14:paraId="214C9531">
      <w:pPr>
        <w:pStyle w:val="73"/>
      </w:pPr>
      <w:r>
        <w:drawing>
          <wp:inline distT="0" distB="0" distL="0" distR="0">
            <wp:extent cx="5399405" cy="2256155"/>
            <wp:effectExtent l="19050" t="19050" r="10795" b="10795"/>
            <wp:docPr id="90650646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506460" name="Рисунок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5400000" cy="2256491"/>
                    </a:xfrm>
                    <a:prstGeom prst="rect">
                      <a:avLst/>
                    </a:prstGeom>
                    <a:noFill/>
                    <a:ln w="3175" cmpd="sng">
                      <a:solidFill>
                        <a:srgbClr val="000000"/>
                      </a:solidFill>
                    </a:ln>
                  </pic:spPr>
                </pic:pic>
              </a:graphicData>
            </a:graphic>
          </wp:inline>
        </w:drawing>
      </w:r>
    </w:p>
    <w:p w14:paraId="12042E01">
      <w:pPr>
        <w:pStyle w:val="74"/>
      </w:pPr>
      <w:bookmarkStart w:id="2673" w:name="_Ref182931183"/>
      <w:r>
        <w:t xml:space="preserve">Рисунок </w:t>
      </w:r>
      <w:r>
        <w:fldChar w:fldCharType="begin"/>
      </w:r>
      <w:r>
        <w:instrText xml:space="preserve"> SEQ Рисунок \* ARABIC </w:instrText>
      </w:r>
      <w:r>
        <w:fldChar w:fldCharType="separate"/>
      </w:r>
      <w:r>
        <w:t>147</w:t>
      </w:r>
      <w:r>
        <w:fldChar w:fldCharType="end"/>
      </w:r>
      <w:r>
        <w:t xml:space="preserve"> — Всплывающее меню «Все разделы»</w:t>
      </w:r>
      <w:bookmarkEnd w:id="2673"/>
    </w:p>
    <w:p w14:paraId="4862DBAB">
      <w:pPr>
        <w:pStyle w:val="69"/>
      </w:pPr>
      <w:r>
        <w:t xml:space="preserve">Произойдет переход в подраздел «Коечный фонд» раздела «Организационно-штатная структура» (рис. </w:t>
      </w:r>
      <w:r>
        <w:fldChar w:fldCharType="begin"/>
      </w:r>
      <w:r>
        <w:instrText xml:space="preserve"> REF  _Ref182931234 \h \t\#\0 \* MERGEFORMAT </w:instrText>
      </w:r>
      <w:r>
        <w:fldChar w:fldCharType="separate"/>
      </w:r>
      <w:r>
        <w:t>148</w:t>
      </w:r>
      <w:r>
        <w:fldChar w:fldCharType="end"/>
      </w:r>
      <w:r>
        <w:t>). Наименование подраздела «Коечный фонд» отображается в информационной строке.</w:t>
      </w:r>
    </w:p>
    <w:p w14:paraId="45658E7E">
      <w:pPr>
        <w:pStyle w:val="69"/>
      </w:pPr>
      <w:r>
        <w:t>По умолчанию отображается подраздел «Визуальная форма (посуточно)». Активные вкладки «Коечный фонд» и «Визуальная форма (посуточно)» выделены цветом.</w:t>
      </w:r>
    </w:p>
    <w:p w14:paraId="64549451">
      <w:pPr>
        <w:pStyle w:val="73"/>
      </w:pPr>
      <w:r>
        <w:drawing>
          <wp:inline distT="0" distB="0" distL="0" distR="0">
            <wp:extent cx="6119495" cy="4243705"/>
            <wp:effectExtent l="19050" t="19050" r="14605" b="23495"/>
            <wp:docPr id="135243886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438863" name="Рисунок 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6119495" cy="4243705"/>
                    </a:xfrm>
                    <a:prstGeom prst="rect">
                      <a:avLst/>
                    </a:prstGeom>
                    <a:noFill/>
                    <a:ln w="3175" cmpd="sng">
                      <a:solidFill>
                        <a:srgbClr val="000000"/>
                      </a:solidFill>
                    </a:ln>
                  </pic:spPr>
                </pic:pic>
              </a:graphicData>
            </a:graphic>
          </wp:inline>
        </w:drawing>
      </w:r>
    </w:p>
    <w:p w14:paraId="1BCACA7C">
      <w:pPr>
        <w:pStyle w:val="74"/>
      </w:pPr>
      <w:bookmarkStart w:id="2674" w:name="_Ref182931234"/>
      <w:r>
        <w:t xml:space="preserve">Рисунок </w:t>
      </w:r>
      <w:r>
        <w:fldChar w:fldCharType="begin"/>
      </w:r>
      <w:r>
        <w:instrText xml:space="preserve"> SEQ Рисунок \* ARABIC </w:instrText>
      </w:r>
      <w:r>
        <w:fldChar w:fldCharType="separate"/>
      </w:r>
      <w:r>
        <w:t>148</w:t>
      </w:r>
      <w:r>
        <w:fldChar w:fldCharType="end"/>
      </w:r>
      <w:bookmarkEnd w:id="2674"/>
      <w:r>
        <w:t xml:space="preserve"> — Раздел «Организационно-штатная структура». Активная вкладка «Коечный фонд». Подраздел «Визуальная форма (посуточно)»</w:t>
      </w:r>
    </w:p>
    <w:p w14:paraId="5A465FD1">
      <w:pPr>
        <w:pStyle w:val="69"/>
      </w:pPr>
      <w:r>
        <w:t>Подраздел «Коечный фонд» содержит вкладки для перехода в подразделы:</w:t>
      </w:r>
    </w:p>
    <w:p w14:paraId="58D6AADE">
      <w:pPr>
        <w:pStyle w:val="76"/>
      </w:pPr>
      <w:r>
        <w:t xml:space="preserve">«Визуальная форма (посуточно)» — просмотр данных о доступности и обороте коечного фонда в графическом виде (описание приведено в </w:t>
      </w:r>
      <w:r>
        <w:fldChar w:fldCharType="begin"/>
      </w:r>
      <w:r>
        <w:instrText xml:space="preserve"> REF _Ref205565325 \n \h </w:instrText>
      </w:r>
      <w:r>
        <w:fldChar w:fldCharType="separate"/>
      </w:r>
      <w:r>
        <w:t>4.10.5</w:t>
      </w:r>
      <w:r>
        <w:fldChar w:fldCharType="end"/>
      </w:r>
      <w:r>
        <w:t>);</w:t>
      </w:r>
    </w:p>
    <w:p w14:paraId="3E65ED9A">
      <w:pPr>
        <w:pStyle w:val="76"/>
      </w:pPr>
      <w:r>
        <w:t xml:space="preserve">«Показатели оборота за период» — просмотр сведений об обороте коечного фонда за период (описание приведено в </w:t>
      </w:r>
      <w:r>
        <w:fldChar w:fldCharType="begin"/>
      </w:r>
      <w:r>
        <w:instrText xml:space="preserve"> REF _Ref205989057 \n \h </w:instrText>
      </w:r>
      <w:r>
        <w:fldChar w:fldCharType="separate"/>
      </w:r>
      <w:r>
        <w:t>4.10.3</w:t>
      </w:r>
      <w:r>
        <w:fldChar w:fldCharType="end"/>
      </w:r>
    </w:p>
    <w:p w14:paraId="787524E6">
      <w:pPr>
        <w:pStyle w:val="76"/>
      </w:pPr>
      <w:r>
        <w:t xml:space="preserve">«Данные витрины» — просмотр сведений по учету коечного фонда на заданную дату (описание приведено в </w:t>
      </w:r>
      <w:r>
        <w:fldChar w:fldCharType="begin"/>
      </w:r>
      <w:r>
        <w:instrText xml:space="preserve"> REF _Ref182926668 \r \h </w:instrText>
      </w:r>
      <w:r>
        <w:fldChar w:fldCharType="separate"/>
      </w:r>
      <w:r>
        <w:t>4.10.1</w:t>
      </w:r>
      <w:r>
        <w:fldChar w:fldCharType="end"/>
      </w:r>
      <w:r>
        <w:t xml:space="preserve">) и формирование отчета о доступности коечного фонда (описание приведено в </w:t>
      </w:r>
      <w:r>
        <w:fldChar w:fldCharType="begin"/>
      </w:r>
      <w:r>
        <w:instrText xml:space="preserve"> REF _Ref205989089 \n \h </w:instrText>
      </w:r>
      <w:r>
        <w:fldChar w:fldCharType="separate"/>
      </w:r>
      <w:r>
        <w:t>4.10.2</w:t>
      </w:r>
      <w:r>
        <w:fldChar w:fldCharType="end"/>
      </w:r>
      <w:r>
        <w:t>);</w:t>
      </w:r>
    </w:p>
    <w:p w14:paraId="6758F673">
      <w:pPr>
        <w:pStyle w:val="76"/>
      </w:pPr>
      <w:r>
        <w:t xml:space="preserve">«Свободные места» — просмотр сведений по планируемым показателям свободных мест (описание приведено в </w:t>
      </w:r>
      <w:r>
        <w:fldChar w:fldCharType="begin"/>
      </w:r>
      <w:r>
        <w:instrText xml:space="preserve"> REF _Ref205989100 \n \h </w:instrText>
      </w:r>
      <w:r>
        <w:fldChar w:fldCharType="separate"/>
      </w:r>
      <w:r>
        <w:t>4.10.4</w:t>
      </w:r>
      <w:r>
        <w:fldChar w:fldCharType="end"/>
      </w:r>
      <w:r>
        <w:t>).</w:t>
      </w:r>
    </w:p>
    <w:p w14:paraId="70AF139A">
      <w:pPr>
        <w:pStyle w:val="69"/>
      </w:pPr>
      <w:r>
        <w:t xml:space="preserve">Под лентой выбора вкладок раздела «Коечный фонд» отображается кнопка </w:t>
      </w:r>
      <w:r>
        <w:drawing>
          <wp:inline distT="0" distB="0" distL="0" distR="0">
            <wp:extent cx="215900" cy="223520"/>
            <wp:effectExtent l="19050" t="19050" r="12700" b="24130"/>
            <wp:docPr id="2895752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75239" name="Рисунок 1"/>
                    <pic:cNvPicPr>
                      <a:picLocks noChangeAspect="1"/>
                    </pic:cNvPicPr>
                  </pic:nvPicPr>
                  <pic:blipFill>
                    <a:blip r:embed="rId177"/>
                    <a:stretch>
                      <a:fillRect/>
                    </a:stretch>
                  </pic:blipFill>
                  <pic:spPr>
                    <a:xfrm>
                      <a:off x="0" y="0"/>
                      <a:ext cx="216000" cy="224000"/>
                    </a:xfrm>
                    <a:prstGeom prst="rect">
                      <a:avLst/>
                    </a:prstGeom>
                    <a:ln w="3175" cmpd="sng">
                      <a:solidFill>
                        <a:srgbClr val="000000"/>
                      </a:solidFill>
                    </a:ln>
                  </pic:spPr>
                </pic:pic>
              </a:graphicData>
            </a:graphic>
          </wp:inline>
        </w:drawing>
      </w:r>
      <w:r>
        <w:t xml:space="preserve"> «Обновить». При нажатии кнопки повторяется последний запрос к подсистеме с учетом параметров отбора, заданных в последнем выполненном запросе.</w:t>
      </w:r>
    </w:p>
    <w:p w14:paraId="0A6E9F40">
      <w:pPr>
        <w:pStyle w:val="60"/>
      </w:pPr>
      <w:bookmarkStart w:id="2675" w:name="_Toc202535663"/>
      <w:bookmarkEnd w:id="2675"/>
      <w:bookmarkStart w:id="2676" w:name="_Toc202536691"/>
      <w:bookmarkEnd w:id="2676"/>
      <w:bookmarkStart w:id="2677" w:name="_Toc202521115"/>
      <w:bookmarkEnd w:id="2677"/>
      <w:bookmarkStart w:id="2678" w:name="_Toc202535213"/>
      <w:bookmarkEnd w:id="2678"/>
      <w:bookmarkStart w:id="2679" w:name="_Toc202545476"/>
      <w:bookmarkEnd w:id="2679"/>
      <w:bookmarkStart w:id="2680" w:name="_Toc202544889"/>
      <w:bookmarkEnd w:id="2680"/>
      <w:bookmarkStart w:id="2681" w:name="_Toc202533918"/>
      <w:bookmarkEnd w:id="2681"/>
      <w:bookmarkStart w:id="2682" w:name="_Toc202460261"/>
      <w:bookmarkEnd w:id="2682"/>
      <w:bookmarkStart w:id="2683" w:name="_Toc182936488"/>
      <w:bookmarkStart w:id="2684" w:name="_Ref182926668"/>
      <w:bookmarkStart w:id="2685" w:name="_Toc182934774"/>
      <w:bookmarkStart w:id="2686" w:name="_Ref205989080"/>
      <w:bookmarkStart w:id="2687" w:name="_Toc225866367"/>
      <w:bookmarkStart w:id="2688" w:name="_Ref182922805"/>
      <w:bookmarkStart w:id="2689" w:name="_Toc182936486"/>
      <w:bookmarkStart w:id="2690" w:name="_Toc182934772"/>
      <w:r>
        <w:t>Просмотр сведений по учету коечного фонда</w:t>
      </w:r>
      <w:bookmarkEnd w:id="2683"/>
      <w:bookmarkEnd w:id="2684"/>
      <w:bookmarkEnd w:id="2685"/>
      <w:r>
        <w:t xml:space="preserve"> на заданную дату</w:t>
      </w:r>
      <w:bookmarkEnd w:id="2686"/>
      <w:bookmarkEnd w:id="2687"/>
    </w:p>
    <w:p w14:paraId="07CE2E4A">
      <w:pPr>
        <w:pStyle w:val="69"/>
      </w:pPr>
      <w:r>
        <w:t xml:space="preserve">Сведения по учету коечного фонда на заданную дату отображаются в подразделе «Данные витрины». </w:t>
      </w:r>
      <w:bookmarkStart w:id="2691" w:name="_Hlk205905072"/>
      <w:r>
        <w:t>Сведения на заданную дату отображаются по данным витрины с 09:00 истекших суток до 09:00 заданной даты поиска. Витрина обновляется каждые 15 минут.</w:t>
      </w:r>
    </w:p>
    <w:p w14:paraId="0BD281F0">
      <w:pPr>
        <w:pStyle w:val="69"/>
      </w:pPr>
      <w:r>
        <w:t xml:space="preserve">Для перехода в подраздел выбрать в разделе «Коечный фонд» вкладку «Данные витрины». В рабочей области отобразится подраздел «Данные витрины» (рис. </w:t>
      </w:r>
      <w:r>
        <w:fldChar w:fldCharType="begin"/>
      </w:r>
      <w:r>
        <w:instrText xml:space="preserve"> REF  _Ref205564030 \h\#\0   \* MERGEFORMAT </w:instrText>
      </w:r>
      <w:r>
        <w:fldChar w:fldCharType="separate"/>
      </w:r>
      <w:r>
        <w:t>149</w:t>
      </w:r>
      <w:r>
        <w:fldChar w:fldCharType="end"/>
      </w:r>
      <w:r>
        <w:t>).</w:t>
      </w:r>
    </w:p>
    <w:bookmarkEnd w:id="2691"/>
    <w:p w14:paraId="25CF7861">
      <w:pPr>
        <w:pStyle w:val="73"/>
      </w:pPr>
      <w:r>
        <w:drawing>
          <wp:inline distT="0" distB="0" distL="0" distR="0">
            <wp:extent cx="6119495" cy="2974340"/>
            <wp:effectExtent l="19050" t="19050" r="14605" b="16510"/>
            <wp:docPr id="16972888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288832" name="Рисунок 1"/>
                    <pic:cNvPicPr>
                      <a:picLocks noChangeAspect="1"/>
                    </pic:cNvPicPr>
                  </pic:nvPicPr>
                  <pic:blipFill>
                    <a:blip r:embed="rId178"/>
                    <a:stretch>
                      <a:fillRect/>
                    </a:stretch>
                  </pic:blipFill>
                  <pic:spPr>
                    <a:xfrm>
                      <a:off x="0" y="0"/>
                      <a:ext cx="6119495" cy="2974340"/>
                    </a:xfrm>
                    <a:prstGeom prst="rect">
                      <a:avLst/>
                    </a:prstGeom>
                    <a:ln w="3175" cmpd="sng">
                      <a:solidFill>
                        <a:srgbClr val="000000"/>
                      </a:solidFill>
                    </a:ln>
                  </pic:spPr>
                </pic:pic>
              </a:graphicData>
            </a:graphic>
          </wp:inline>
        </w:drawing>
      </w:r>
    </w:p>
    <w:p w14:paraId="2349F0D0">
      <w:pPr>
        <w:pStyle w:val="74"/>
      </w:pPr>
      <w:bookmarkStart w:id="2692" w:name="_Ref205564030"/>
      <w:r>
        <w:t xml:space="preserve">Рисунок </w:t>
      </w:r>
      <w:r>
        <w:fldChar w:fldCharType="begin"/>
      </w:r>
      <w:r>
        <w:instrText xml:space="preserve"> SEQ Рисунок \* ARABIC </w:instrText>
      </w:r>
      <w:r>
        <w:fldChar w:fldCharType="separate"/>
      </w:r>
      <w:r>
        <w:t>149</w:t>
      </w:r>
      <w:r>
        <w:fldChar w:fldCharType="end"/>
      </w:r>
      <w:bookmarkEnd w:id="2692"/>
      <w:r>
        <w:t xml:space="preserve"> — Коечный фонд. Подраздел «Данные витрины»</w:t>
      </w:r>
    </w:p>
    <w:p w14:paraId="66A831A7">
      <w:pPr>
        <w:pStyle w:val="69"/>
      </w:pPr>
      <w:r>
        <w:t xml:space="preserve">Для просмотра сведений по учету коечного фонда на заданную дату необходимо задать параметры отбора данных в панели «Фильтр» (рис. </w:t>
      </w:r>
      <w:r>
        <w:fldChar w:fldCharType="begin"/>
      </w:r>
      <w:r>
        <w:instrText xml:space="preserve"> REF  _Ref205564248 \h\#\0   \* MERGEFORMAT </w:instrText>
      </w:r>
      <w:r>
        <w:fldChar w:fldCharType="separate"/>
      </w:r>
      <w:r>
        <w:t>150</w:t>
      </w:r>
      <w:r>
        <w:fldChar w:fldCharType="end"/>
      </w:r>
      <w:r>
        <w:t>).</w:t>
      </w:r>
    </w:p>
    <w:p w14:paraId="5D85C88E">
      <w:pPr>
        <w:pStyle w:val="73"/>
      </w:pPr>
      <w:r>
        <w:drawing>
          <wp:inline distT="0" distB="0" distL="0" distR="0">
            <wp:extent cx="1884045" cy="3987165"/>
            <wp:effectExtent l="19050" t="19050" r="20955" b="13335"/>
            <wp:docPr id="35642858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428580" name="Рисунок 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1884045" cy="3987165"/>
                    </a:xfrm>
                    <a:prstGeom prst="rect">
                      <a:avLst/>
                    </a:prstGeom>
                    <a:noFill/>
                    <a:ln w="3175" cmpd="sng">
                      <a:solidFill>
                        <a:srgbClr val="000000"/>
                      </a:solidFill>
                    </a:ln>
                  </pic:spPr>
                </pic:pic>
              </a:graphicData>
            </a:graphic>
          </wp:inline>
        </w:drawing>
      </w:r>
    </w:p>
    <w:p w14:paraId="706BD736">
      <w:pPr>
        <w:pStyle w:val="74"/>
      </w:pPr>
      <w:bookmarkStart w:id="2693" w:name="_Ref205564248"/>
      <w:r>
        <w:t xml:space="preserve">Рисунок </w:t>
      </w:r>
      <w:r>
        <w:fldChar w:fldCharType="begin"/>
      </w:r>
      <w:r>
        <w:instrText xml:space="preserve"> SEQ Рисунок \* ARABIC </w:instrText>
      </w:r>
      <w:r>
        <w:fldChar w:fldCharType="separate"/>
      </w:r>
      <w:r>
        <w:t>150</w:t>
      </w:r>
      <w:r>
        <w:fldChar w:fldCharType="end"/>
      </w:r>
      <w:bookmarkEnd w:id="2693"/>
      <w:r>
        <w:t xml:space="preserve"> — Блок «Параметры обора». Режим отбора данных «Всего»</w:t>
      </w:r>
    </w:p>
    <w:p w14:paraId="742C1478">
      <w:pPr>
        <w:pStyle w:val="69"/>
      </w:pPr>
      <w:r>
        <w:t>Блок «Фильтр» содержит переключатель выбора режима отбора данных для отображения:</w:t>
      </w:r>
    </w:p>
    <w:p w14:paraId="5A1A487D">
      <w:pPr>
        <w:pStyle w:val="76"/>
      </w:pPr>
      <w:r>
        <w:t>«Всего» — отображение заявленных коек;</w:t>
      </w:r>
    </w:p>
    <w:p w14:paraId="3D5BB7DB">
      <w:pPr>
        <w:pStyle w:val="76"/>
      </w:pPr>
      <w:r>
        <w:t>«В ОМС» — отображение заявленных коек только по договорам в ОМС.</w:t>
      </w:r>
    </w:p>
    <w:p w14:paraId="02A91B3D">
      <w:pPr>
        <w:pStyle w:val="69"/>
      </w:pPr>
      <w:r>
        <w:t>В режиме «Всего» блок «Фильтр» содержит следующие параметры:</w:t>
      </w:r>
    </w:p>
    <w:p w14:paraId="431B5F41">
      <w:pPr>
        <w:pStyle w:val="76"/>
      </w:pPr>
      <w:r>
        <w:t>«МО» — обязательный параметр. ОИД медицинской организации, данные по которой требуется получить;</w:t>
      </w:r>
    </w:p>
    <w:p w14:paraId="0C221463">
      <w:pPr>
        <w:pStyle w:val="76"/>
      </w:pPr>
      <w:r>
        <w:t>«Структурное подразделение» — структурное подразделение МО по данным ФРМО;</w:t>
      </w:r>
    </w:p>
    <w:p w14:paraId="1274D04A">
      <w:pPr>
        <w:pStyle w:val="76"/>
      </w:pPr>
      <w:r>
        <w:t>«Отделение» — отделение МО по данным ФРМО;</w:t>
      </w:r>
    </w:p>
    <w:p w14:paraId="266774CF">
      <w:pPr>
        <w:pStyle w:val="76"/>
      </w:pPr>
      <w:r>
        <w:t>«Профиль» — профиль койки</w:t>
      </w:r>
      <w:r>
        <w:rPr>
          <w:lang w:val="en-US"/>
        </w:rPr>
        <w:t>;</w:t>
      </w:r>
    </w:p>
    <w:p w14:paraId="69F8FF70">
      <w:pPr>
        <w:pStyle w:val="76"/>
      </w:pPr>
      <w:r>
        <w:t>«Дата» — обязательный параметр. Учитываются сведения с 09:00 истекших суток до 09:00 даты поиска. По умолчанию отображается текущая дата.</w:t>
      </w:r>
    </w:p>
    <w:p w14:paraId="106C6E84">
      <w:pPr>
        <w:pStyle w:val="69"/>
      </w:pPr>
      <w:r>
        <w:t>После задания необходимых параметров отбора данных, включая дату, на которую требуется предоставить сведения, нажать «Найти».</w:t>
      </w:r>
    </w:p>
    <w:p w14:paraId="2AD876FA">
      <w:pPr>
        <w:pStyle w:val="69"/>
      </w:pPr>
      <w:r>
        <w:t xml:space="preserve">Результаты отбора и агрегации данных о доступности коечного фонда МО на заданную дату отобразятся в рабочей области в табличной форме (рис.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205477069 \</w:instrText>
      </w:r>
      <w:r>
        <w:rPr>
          <w:lang w:val="en-US"/>
        </w:rPr>
        <w:instrText xml:space="preserve">h</w:instrText>
      </w:r>
      <w:r>
        <w:instrText xml:space="preserve">\#\0   \* </w:instrText>
      </w:r>
      <w:r>
        <w:rPr>
          <w:lang w:val="en-US"/>
        </w:rPr>
        <w:instrText xml:space="preserve">MERGEFORMAT</w:instrText>
      </w:r>
      <w:r>
        <w:instrText xml:space="preserve"> </w:instrText>
      </w:r>
      <w:r>
        <w:rPr>
          <w:lang w:val="en-US"/>
        </w:rPr>
        <w:fldChar w:fldCharType="separate"/>
      </w:r>
      <w:r>
        <w:t>151</w:t>
      </w:r>
      <w:r>
        <w:rPr>
          <w:lang w:val="en-US"/>
        </w:rPr>
        <w:fldChar w:fldCharType="end"/>
      </w:r>
      <w:r>
        <w:t>).</w:t>
      </w:r>
    </w:p>
    <w:p w14:paraId="4D591110">
      <w:pPr>
        <w:pStyle w:val="73"/>
      </w:pPr>
      <w:r>
        <w:drawing>
          <wp:inline distT="0" distB="0" distL="0" distR="0">
            <wp:extent cx="6120765" cy="2651760"/>
            <wp:effectExtent l="19050" t="19050" r="13335" b="15240"/>
            <wp:docPr id="47770926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09261" name="Рисунок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6120765" cy="2651760"/>
                    </a:xfrm>
                    <a:prstGeom prst="rect">
                      <a:avLst/>
                    </a:prstGeom>
                    <a:noFill/>
                    <a:ln w="3175" cmpd="sng">
                      <a:solidFill>
                        <a:srgbClr val="000000"/>
                      </a:solidFill>
                    </a:ln>
                  </pic:spPr>
                </pic:pic>
              </a:graphicData>
            </a:graphic>
          </wp:inline>
        </w:drawing>
      </w:r>
    </w:p>
    <w:p w14:paraId="6CF06E26">
      <w:pPr>
        <w:pStyle w:val="74"/>
      </w:pPr>
      <w:bookmarkStart w:id="2694" w:name="_Ref205477069"/>
      <w:r>
        <w:t xml:space="preserve">Рисунок </w:t>
      </w:r>
      <w:r>
        <w:fldChar w:fldCharType="begin"/>
      </w:r>
      <w:r>
        <w:instrText xml:space="preserve"> SEQ Рисунок \* ARABIC </w:instrText>
      </w:r>
      <w:r>
        <w:fldChar w:fldCharType="separate"/>
      </w:r>
      <w:r>
        <w:t>151</w:t>
      </w:r>
      <w:r>
        <w:fldChar w:fldCharType="end"/>
      </w:r>
      <w:bookmarkEnd w:id="2694"/>
      <w:r>
        <w:t xml:space="preserve"> — Подраздел «Данные витрины». Пример результатов отбора и агрегации данных</w:t>
      </w:r>
    </w:p>
    <w:p w14:paraId="5EBE91C0">
      <w:pPr>
        <w:pStyle w:val="69"/>
      </w:pPr>
      <w:r>
        <w:t xml:space="preserve">В информационной строке отображается количество записей, удовлетворяющих заданным параметрам отбора данных, дата и время последнего обновления фиксируемых в ФПУМП сведений по учету коечного фонда. Кнопка </w:t>
      </w:r>
      <w:r>
        <w:drawing>
          <wp:inline distT="0" distB="0" distL="0" distR="0">
            <wp:extent cx="209550" cy="190500"/>
            <wp:effectExtent l="19050" t="19050" r="19050" b="19050"/>
            <wp:docPr id="13347420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742047" name="Рисунок 1"/>
                    <pic:cNvPicPr>
                      <a:picLocks noChangeAspect="1"/>
                    </pic:cNvPicPr>
                  </pic:nvPicPr>
                  <pic:blipFill>
                    <a:blip r:embed="rId181"/>
                    <a:stretch>
                      <a:fillRect/>
                    </a:stretch>
                  </pic:blipFill>
                  <pic:spPr>
                    <a:xfrm>
                      <a:off x="0" y="0"/>
                      <a:ext cx="209579" cy="190527"/>
                    </a:xfrm>
                    <a:prstGeom prst="rect">
                      <a:avLst/>
                    </a:prstGeom>
                    <a:ln w="3175" cmpd="sng">
                      <a:solidFill>
                        <a:srgbClr val="000000"/>
                      </a:solidFill>
                    </a:ln>
                  </pic:spPr>
                </pic:pic>
              </a:graphicData>
            </a:graphic>
          </wp:inline>
        </w:drawing>
      </w:r>
      <w:r>
        <w:t xml:space="preserve"> «Обновить» повторяет последний запрос к подсистеме с учетом параметров отбора, заданных в последнем выполненном запросе.</w:t>
      </w:r>
    </w:p>
    <w:p w14:paraId="4FEA6CF5">
      <w:pPr>
        <w:pStyle w:val="69"/>
      </w:pPr>
      <w:r>
        <w:t>В табличной части по умолчанию отображаются основные показатели оборота коечного фонда в следующих столбцах:</w:t>
      </w:r>
    </w:p>
    <w:p w14:paraId="6F62D6A8">
      <w:pPr>
        <w:pStyle w:val="76"/>
      </w:pPr>
      <w:r>
        <w:t>«Профиль койки» — код и наименование профиля койки по данным ФРМО;</w:t>
      </w:r>
    </w:p>
    <w:p w14:paraId="3DD1DB33">
      <w:pPr>
        <w:pStyle w:val="76"/>
      </w:pPr>
      <w:r>
        <w:t>«Кол-во заявленных коек» — количество заявленных коек по отделению и профилю коек по данным ФРМО;</w:t>
      </w:r>
    </w:p>
    <w:p w14:paraId="36D30A38">
      <w:pPr>
        <w:pStyle w:val="76"/>
      </w:pPr>
      <w:r>
        <w:t>«Занятые койки» — разница количества поступивших пациентов за истекшие сутки и количества выписанных пациентов за истекшие сутки;</w:t>
      </w:r>
    </w:p>
    <w:p w14:paraId="593BE640">
      <w:pPr>
        <w:pStyle w:val="76"/>
      </w:pPr>
      <w:r>
        <w:t>«Поступившие пациенты за истекшие сутки» — количество поступивших пациентов, включая переведенных внутри стационара. Дата, время поступления из движения отделения c 9:00 истекших суток (включительно) до 9:00 текущего дня (не включительно);</w:t>
      </w:r>
    </w:p>
    <w:p w14:paraId="69FD1245">
      <w:pPr>
        <w:pStyle w:val="76"/>
      </w:pPr>
      <w:r>
        <w:t>«Количество свободных коек профиля» — разница количества заявленных коек и количества занятых коек;</w:t>
      </w:r>
    </w:p>
    <w:p w14:paraId="2CB2C5EC">
      <w:pPr>
        <w:pStyle w:val="76"/>
      </w:pPr>
      <w:r>
        <w:t>«Выписанные пациенты за истекшие сутки» — количество выбывших пациентов, включая переведенных внутри стационара. Дата, время выбытия из движения отделения c 9:00 истекших суток (включительно) до 9:00 текущего дня (не включительно);</w:t>
      </w:r>
    </w:p>
    <w:p w14:paraId="615FB4F1">
      <w:pPr>
        <w:pStyle w:val="76"/>
      </w:pPr>
      <w:r>
        <w:t>«СЭФД в статусе черновик» — количество СЭФД статусе черновик (указана плановая даты окончания госпитализации). Дата, время поступления из движения отделения c 9:00 истекших суток (включительно) до 9:00 текущего дня (не включительно);</w:t>
      </w:r>
    </w:p>
    <w:p w14:paraId="2FAD62F5">
      <w:pPr>
        <w:pStyle w:val="76"/>
      </w:pPr>
      <w:r>
        <w:t>«Поступившие пациенты за истекшие сутки, переведенные внутри стационара» — количество переведенных пациентов. Дата, время поступления из движения отделения c 9:00 истекших суток (включительно) до 9:00 текущего дня (не включительно), переведенных внутри стационара;</w:t>
      </w:r>
    </w:p>
    <w:p w14:paraId="29BA2FF1">
      <w:pPr>
        <w:pStyle w:val="76"/>
      </w:pPr>
      <w:r>
        <w:t>«Выписанные пациенты за истекшие сутки, переведенные внутри стационара» — Количество выбывших пациентов. Дата, время выбытия из движения отделения c 9:00 истекших суток (включительно) до 9:00 текущего дня (не включительно), переведенных внутри стационара.</w:t>
      </w:r>
    </w:p>
    <w:p w14:paraId="66CDE958">
      <w:pPr>
        <w:pStyle w:val="69"/>
      </w:pPr>
      <w:r>
        <w:t>По ряду показателей отображается детализированная информация в разрезе:</w:t>
      </w:r>
    </w:p>
    <w:p w14:paraId="047DC909">
      <w:pPr>
        <w:pStyle w:val="76"/>
      </w:pPr>
      <w:r>
        <w:t>«Количество»;</w:t>
      </w:r>
    </w:p>
    <w:p w14:paraId="68961F9B">
      <w:pPr>
        <w:pStyle w:val="76"/>
      </w:pPr>
      <w:r>
        <w:t>«ТПГГ и ПГГ» — код МО в ОМС;</w:t>
      </w:r>
    </w:p>
    <w:p w14:paraId="62476622">
      <w:pPr>
        <w:pStyle w:val="76"/>
      </w:pPr>
      <w:r>
        <w:t>«Всего».</w:t>
      </w:r>
    </w:p>
    <w:p w14:paraId="6826049C">
      <w:pPr>
        <w:pStyle w:val="75"/>
        <w:numPr>
          <w:ilvl w:val="0"/>
          <w:numId w:val="0"/>
        </w:numPr>
        <w:ind w:firstLine="709"/>
      </w:pPr>
      <w:r>
        <w:t>Часть показателей столбцов с показателями скрыта по умолчанию:</w:t>
      </w:r>
    </w:p>
    <w:p w14:paraId="158BC1D8">
      <w:pPr>
        <w:pStyle w:val="76"/>
      </w:pPr>
      <w:r>
        <w:t>«Категория обслуживаемого населения» — скрыт по умолчанию;</w:t>
      </w:r>
    </w:p>
    <w:p w14:paraId="2D9847E6">
      <w:pPr>
        <w:pStyle w:val="76"/>
      </w:pPr>
      <w:r>
        <w:t>«Условия оказания МП» — скрыт по умолчанию;</w:t>
      </w:r>
    </w:p>
    <w:p w14:paraId="460B0085">
      <w:pPr>
        <w:pStyle w:val="76"/>
      </w:pPr>
      <w:r>
        <w:t>«OID отделения» — скрыт по умолчанию;</w:t>
      </w:r>
    </w:p>
    <w:p w14:paraId="2F1FD079">
      <w:pPr>
        <w:pStyle w:val="76"/>
      </w:pPr>
      <w:r>
        <w:t>«Код типа отделения» — скрыт по умолчанию;</w:t>
      </w:r>
    </w:p>
    <w:p w14:paraId="728D89D8">
      <w:pPr>
        <w:pStyle w:val="76"/>
      </w:pPr>
      <w:r>
        <w:t>«Наименование типа отделения» — скрыт по умолчанию;</w:t>
      </w:r>
    </w:p>
    <w:p w14:paraId="3AEE2625">
      <w:pPr>
        <w:pStyle w:val="76"/>
      </w:pPr>
      <w:r>
        <w:t>«OID структурного подразделения» — скрыт по умолчанию;</w:t>
      </w:r>
    </w:p>
    <w:p w14:paraId="5D3A2AE3">
      <w:pPr>
        <w:pStyle w:val="76"/>
      </w:pPr>
      <w:r>
        <w:t>«Наименование структурного подразделения» — скрыт по умолчанию;</w:t>
      </w:r>
    </w:p>
    <w:p w14:paraId="1B8C3151">
      <w:pPr>
        <w:pStyle w:val="76"/>
      </w:pPr>
      <w:r>
        <w:t>«OID медицинской организации» — скрыт по умолчанию;</w:t>
      </w:r>
    </w:p>
    <w:p w14:paraId="6C4CA4A6">
      <w:pPr>
        <w:pStyle w:val="76"/>
      </w:pPr>
      <w:r>
        <w:t>«Краткое наим. мед. организации» — скрыт по умолчанию;</w:t>
      </w:r>
    </w:p>
    <w:p w14:paraId="5355654C">
      <w:pPr>
        <w:pStyle w:val="76"/>
      </w:pPr>
      <w:r>
        <w:t>«Код субъекта МО» — скрыт по умолчанию;</w:t>
      </w:r>
    </w:p>
    <w:p w14:paraId="0E1BEB28">
      <w:pPr>
        <w:pStyle w:val="76"/>
      </w:pPr>
      <w:r>
        <w:t>«Наименование субъекта» — скрыт по умолчанию.</w:t>
      </w:r>
    </w:p>
    <w:p w14:paraId="60190923">
      <w:pPr>
        <w:pStyle w:val="69"/>
      </w:pPr>
      <w:r>
        <w:t xml:space="preserve">Доступен элемент управления </w:t>
      </w:r>
      <w:r>
        <w:drawing>
          <wp:inline distT="0" distB="0" distL="0" distR="0">
            <wp:extent cx="179705" cy="191770"/>
            <wp:effectExtent l="19050" t="19050" r="10795" b="17780"/>
            <wp:docPr id="1477327869" name="Рисунок 1477327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27869" name="Рисунок 1477327869"/>
                    <pic:cNvPicPr>
                      <a:picLocks noChangeAspect="1"/>
                    </pic:cNvPicPr>
                  </pic:nvPicPr>
                  <pic:blipFill>
                    <a:blip r:embed="rId32"/>
                    <a:stretch>
                      <a:fillRect/>
                    </a:stretch>
                  </pic:blipFill>
                  <pic:spPr>
                    <a:xfrm>
                      <a:off x="0" y="0"/>
                      <a:ext cx="180000" cy="192000"/>
                    </a:xfrm>
                    <a:prstGeom prst="rect">
                      <a:avLst/>
                    </a:prstGeom>
                    <a:ln w="3175" cmpd="sng">
                      <a:solidFill>
                        <a:srgbClr val="000000"/>
                      </a:solidFill>
                    </a:ln>
                  </pic:spPr>
                </pic:pic>
              </a:graphicData>
            </a:graphic>
          </wp:inline>
        </w:drawing>
      </w:r>
      <w:r>
        <w:t xml:space="preserve"> «Настройка» для выбора в панели настройки показателей для отображения в графическом интерфейсе пользователя. Для просмотра всех показателей воспользоваться полосой прокрутки справа (рис. </w:t>
      </w:r>
      <w:r>
        <w:fldChar w:fldCharType="begin"/>
      </w:r>
      <w:r>
        <w:instrText xml:space="preserve"> REF  _Ref205989150 \h \t\#\0   \* MERGEFORMAT </w:instrText>
      </w:r>
      <w:r>
        <w:fldChar w:fldCharType="separate"/>
      </w:r>
      <w:r>
        <w:t>152</w:t>
      </w:r>
      <w:r>
        <w:fldChar w:fldCharType="end"/>
      </w:r>
      <w:r>
        <w:t>).</w:t>
      </w:r>
    </w:p>
    <w:p w14:paraId="3B8078FA">
      <w:pPr>
        <w:pStyle w:val="71"/>
      </w:pPr>
      <w:r>
        <w:t>Примечание — При формировании отчета выгружаются данные витрины по всем показателям, в том числе скрытым по умолчанию или по выбору пользователя при настройке столбцов для отображения показателей на экране (см. </w:t>
      </w:r>
      <w:r>
        <w:fldChar w:fldCharType="begin"/>
      </w:r>
      <w:r>
        <w:instrText xml:space="preserve"> REF _Ref205886174 \n \h </w:instrText>
      </w:r>
      <w:r>
        <w:fldChar w:fldCharType="separate"/>
      </w:r>
      <w:r>
        <w:t>4.10.2</w:t>
      </w:r>
      <w:r>
        <w:fldChar w:fldCharType="end"/>
      </w:r>
      <w:r>
        <w:t>).</w:t>
      </w:r>
    </w:p>
    <w:p w14:paraId="4AADF2ED">
      <w:pPr>
        <w:pStyle w:val="73"/>
      </w:pPr>
      <w:r>
        <w:drawing>
          <wp:inline distT="0" distB="0" distL="0" distR="0">
            <wp:extent cx="2159635" cy="2771775"/>
            <wp:effectExtent l="19050" t="19050" r="12065" b="9525"/>
            <wp:docPr id="7436600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660038" name="Рисунок 1"/>
                    <pic:cNvPicPr>
                      <a:picLocks noChangeAspect="1"/>
                    </pic:cNvPicPr>
                  </pic:nvPicPr>
                  <pic:blipFill>
                    <a:blip r:embed="rId182"/>
                    <a:stretch>
                      <a:fillRect/>
                    </a:stretch>
                  </pic:blipFill>
                  <pic:spPr>
                    <a:xfrm>
                      <a:off x="0" y="0"/>
                      <a:ext cx="2160000" cy="2772000"/>
                    </a:xfrm>
                    <a:prstGeom prst="rect">
                      <a:avLst/>
                    </a:prstGeom>
                    <a:ln w="3175" cmpd="sng">
                      <a:solidFill>
                        <a:srgbClr val="000000"/>
                      </a:solidFill>
                    </a:ln>
                  </pic:spPr>
                </pic:pic>
              </a:graphicData>
            </a:graphic>
          </wp:inline>
        </w:drawing>
      </w:r>
    </w:p>
    <w:p w14:paraId="0E4D3B5A">
      <w:pPr>
        <w:pStyle w:val="74"/>
      </w:pPr>
      <w:bookmarkStart w:id="2695" w:name="_Ref205989150"/>
      <w:r>
        <w:t xml:space="preserve">Рисунок </w:t>
      </w:r>
      <w:r>
        <w:fldChar w:fldCharType="begin"/>
      </w:r>
      <w:r>
        <w:instrText xml:space="preserve"> SEQ Рисунок \* ARABIC </w:instrText>
      </w:r>
      <w:r>
        <w:fldChar w:fldCharType="separate"/>
      </w:r>
      <w:r>
        <w:t>152</w:t>
      </w:r>
      <w:r>
        <w:fldChar w:fldCharType="end"/>
      </w:r>
      <w:bookmarkEnd w:id="2695"/>
      <w:r>
        <w:t xml:space="preserve"> — Настройка отображения данных витрины в графическом интерфейсе пользователя</w:t>
      </w:r>
    </w:p>
    <w:p w14:paraId="43EAA996">
      <w:pPr>
        <w:pStyle w:val="69"/>
      </w:pPr>
      <w:r>
        <w:t>Для просмотра всех показателей (столбцов) воспользоваться полосой прокрутки в нижней части страницы.</w:t>
      </w:r>
    </w:p>
    <w:p w14:paraId="1C78BAAF">
      <w:pPr>
        <w:pStyle w:val="69"/>
      </w:pPr>
      <w:r>
        <w:t>Для просмотра всех записей (строк) воспользоваться полосой прокрутки справа.</w:t>
      </w:r>
    </w:p>
    <w:p w14:paraId="5E9E8139">
      <w:pPr>
        <w:pStyle w:val="69"/>
      </w:pPr>
      <w:r>
        <w:t xml:space="preserve">При наведении указателя на пиктограмму </w:t>
      </w:r>
      <w:r>
        <w:drawing>
          <wp:inline distT="0" distB="0" distL="0" distR="0">
            <wp:extent cx="209550" cy="219075"/>
            <wp:effectExtent l="19050" t="19050" r="19050" b="28575"/>
            <wp:docPr id="10590966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096633" name="Рисунок 1"/>
                    <pic:cNvPicPr>
                      <a:picLocks noChangeAspect="1"/>
                    </pic:cNvPicPr>
                  </pic:nvPicPr>
                  <pic:blipFill>
                    <a:blip r:embed="rId183"/>
                    <a:stretch>
                      <a:fillRect/>
                    </a:stretch>
                  </pic:blipFill>
                  <pic:spPr>
                    <a:xfrm>
                      <a:off x="0" y="0"/>
                      <a:ext cx="209579" cy="219106"/>
                    </a:xfrm>
                    <a:prstGeom prst="rect">
                      <a:avLst/>
                    </a:prstGeom>
                    <a:ln w="3175" cmpd="sng">
                      <a:solidFill>
                        <a:srgbClr val="000000"/>
                      </a:solidFill>
                    </a:ln>
                  </pic:spPr>
                </pic:pic>
              </a:graphicData>
            </a:graphic>
          </wp:inline>
        </w:drawing>
      </w:r>
      <w:r>
        <w:t xml:space="preserve"> «Информация» в столбцах с наименованием показателя в табличной части или панели настройки отображения столбцов отображаются правила формирования значения показателя (рис. </w:t>
      </w:r>
      <w:r>
        <w:fldChar w:fldCharType="begin"/>
      </w:r>
      <w:r>
        <w:instrText xml:space="preserve"> REF  _Ref205989181 \h \t\#\0   \* MERGEFORMAT </w:instrText>
      </w:r>
      <w:r>
        <w:fldChar w:fldCharType="separate"/>
      </w:r>
      <w:r>
        <w:t>153</w:t>
      </w:r>
      <w:r>
        <w:fldChar w:fldCharType="end"/>
      </w:r>
      <w:r>
        <w:t xml:space="preserve"> и </w:t>
      </w:r>
      <w:r>
        <w:fldChar w:fldCharType="begin"/>
      </w:r>
      <w:r>
        <w:instrText xml:space="preserve"> REF  _Ref205989194 \h \t\#\0   \* MERGEFORMAT </w:instrText>
      </w:r>
      <w:r>
        <w:fldChar w:fldCharType="separate"/>
      </w:r>
      <w:r>
        <w:t>154</w:t>
      </w:r>
      <w:r>
        <w:fldChar w:fldCharType="end"/>
      </w:r>
      <w:r>
        <w:t>).</w:t>
      </w:r>
    </w:p>
    <w:p w14:paraId="01D043A6">
      <w:pPr>
        <w:pStyle w:val="73"/>
      </w:pPr>
      <w:r>
        <w:drawing>
          <wp:inline distT="0" distB="0" distL="0" distR="0">
            <wp:extent cx="4679950" cy="1727200"/>
            <wp:effectExtent l="19050" t="19050" r="25400" b="25400"/>
            <wp:docPr id="17269565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956570" name="Рисунок 1"/>
                    <pic:cNvPicPr>
                      <a:picLocks noChangeAspect="1"/>
                    </pic:cNvPicPr>
                  </pic:nvPicPr>
                  <pic:blipFill>
                    <a:blip r:embed="rId184"/>
                    <a:stretch>
                      <a:fillRect/>
                    </a:stretch>
                  </pic:blipFill>
                  <pic:spPr>
                    <a:xfrm>
                      <a:off x="0" y="0"/>
                      <a:ext cx="4680000" cy="1727380"/>
                    </a:xfrm>
                    <a:prstGeom prst="rect">
                      <a:avLst/>
                    </a:prstGeom>
                    <a:ln w="3175" cmpd="sng">
                      <a:solidFill>
                        <a:srgbClr val="000000"/>
                      </a:solidFill>
                    </a:ln>
                  </pic:spPr>
                </pic:pic>
              </a:graphicData>
            </a:graphic>
          </wp:inline>
        </w:drawing>
      </w:r>
    </w:p>
    <w:p w14:paraId="2DBFE5E9">
      <w:pPr>
        <w:pStyle w:val="74"/>
      </w:pPr>
      <w:bookmarkStart w:id="2696" w:name="_Ref205989181"/>
      <w:r>
        <w:t xml:space="preserve">Рисунок </w:t>
      </w:r>
      <w:r>
        <w:fldChar w:fldCharType="begin"/>
      </w:r>
      <w:r>
        <w:instrText xml:space="preserve"> SEQ Рисунок \* ARABIC </w:instrText>
      </w:r>
      <w:r>
        <w:fldChar w:fldCharType="separate"/>
      </w:r>
      <w:r>
        <w:t>153</w:t>
      </w:r>
      <w:r>
        <w:fldChar w:fldCharType="end"/>
      </w:r>
      <w:bookmarkEnd w:id="2696"/>
      <w:r>
        <w:t xml:space="preserve"> — Всплывающая подсказка в табличной части</w:t>
      </w:r>
    </w:p>
    <w:p w14:paraId="35E3F4BD">
      <w:pPr>
        <w:pStyle w:val="73"/>
      </w:pPr>
      <w:r>
        <w:drawing>
          <wp:inline distT="0" distB="0" distL="0" distR="0">
            <wp:extent cx="2519680" cy="3198495"/>
            <wp:effectExtent l="19050" t="19050" r="13970" b="20955"/>
            <wp:docPr id="7577847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84719" name="Рисунок 1"/>
                    <pic:cNvPicPr>
                      <a:picLocks noChangeAspect="1"/>
                    </pic:cNvPicPr>
                  </pic:nvPicPr>
                  <pic:blipFill>
                    <a:blip r:embed="rId185"/>
                    <a:srcRect t="15685"/>
                    <a:stretch>
                      <a:fillRect/>
                    </a:stretch>
                  </pic:blipFill>
                  <pic:spPr>
                    <a:xfrm>
                      <a:off x="0" y="0"/>
                      <a:ext cx="2520000" cy="3199391"/>
                    </a:xfrm>
                    <a:prstGeom prst="rect">
                      <a:avLst/>
                    </a:prstGeom>
                    <a:ln w="3175" cap="flat" cmpd="sng" algn="ctr">
                      <a:solidFill>
                        <a:srgbClr val="000000"/>
                      </a:solidFill>
                      <a:prstDash val="solid"/>
                      <a:round/>
                      <a:headEnd type="none" w="med" len="med"/>
                      <a:tailEnd type="none" w="med" len="med"/>
                    </a:ln>
                  </pic:spPr>
                </pic:pic>
              </a:graphicData>
            </a:graphic>
          </wp:inline>
        </w:drawing>
      </w:r>
    </w:p>
    <w:p w14:paraId="0530C005">
      <w:pPr>
        <w:pStyle w:val="74"/>
      </w:pPr>
      <w:bookmarkStart w:id="2697" w:name="_Ref205989194"/>
      <w:r>
        <w:t xml:space="preserve">Рисунок </w:t>
      </w:r>
      <w:r>
        <w:fldChar w:fldCharType="begin"/>
      </w:r>
      <w:r>
        <w:instrText xml:space="preserve"> SEQ Рисунок \* ARABIC </w:instrText>
      </w:r>
      <w:r>
        <w:fldChar w:fldCharType="separate"/>
      </w:r>
      <w:r>
        <w:t>154</w:t>
      </w:r>
      <w:r>
        <w:fldChar w:fldCharType="end"/>
      </w:r>
      <w:bookmarkEnd w:id="2697"/>
      <w:r>
        <w:t xml:space="preserve"> — Всплывающая подсказка в панели настройки</w:t>
      </w:r>
    </w:p>
    <w:p w14:paraId="3A432CA0">
      <w:pPr>
        <w:pStyle w:val="60"/>
      </w:pPr>
      <w:bookmarkStart w:id="2698" w:name="_Toc204336464"/>
      <w:bookmarkStart w:id="2699" w:name="_Ref205565304"/>
      <w:bookmarkStart w:id="2700" w:name="_Ref205565569"/>
      <w:bookmarkStart w:id="2701" w:name="_Ref205886174"/>
      <w:bookmarkStart w:id="2702" w:name="_Toc225866368"/>
      <w:bookmarkStart w:id="2703" w:name="_Toc205903008"/>
      <w:bookmarkStart w:id="2704" w:name="_Ref205989089"/>
      <w:bookmarkStart w:id="2705" w:name="_Ref206016225"/>
      <w:r>
        <w:t>Формирование отчета о доступности коечного фонда на заданную дату</w:t>
      </w:r>
      <w:bookmarkEnd w:id="2698"/>
      <w:bookmarkEnd w:id="2699"/>
      <w:bookmarkEnd w:id="2700"/>
      <w:bookmarkEnd w:id="2701"/>
      <w:bookmarkEnd w:id="2702"/>
      <w:bookmarkEnd w:id="2703"/>
      <w:bookmarkEnd w:id="2704"/>
      <w:bookmarkEnd w:id="2705"/>
    </w:p>
    <w:p w14:paraId="3E13C16E">
      <w:pPr>
        <w:pStyle w:val="69"/>
      </w:pPr>
      <w:r>
        <w:t>Формирование отчета о доступности коечного фонда выполняется на вкладке «Данные витрины».</w:t>
      </w:r>
    </w:p>
    <w:p w14:paraId="16F0617F">
      <w:pPr>
        <w:pStyle w:val="69"/>
      </w:pPr>
      <w:r>
        <w:t>Для формирования отчета на текущую дату необходимо заполнить параметры отбора данных в блоке «Фильтр», указав МО и дату, и нажать «Найти».</w:t>
      </w:r>
    </w:p>
    <w:p w14:paraId="1ED8F205">
      <w:pPr>
        <w:pStyle w:val="69"/>
      </w:pPr>
      <w:r>
        <w:t>В рабочей области отобразятся результаты отбора и агрегации данных о доступности коечного фонда МО на заданную дату.</w:t>
      </w:r>
    </w:p>
    <w:p w14:paraId="03C97C17">
      <w:pPr>
        <w:pStyle w:val="69"/>
      </w:pPr>
      <w:r>
        <w:t xml:space="preserve">Чтобы скачать данные в форме отчета о доступности коечного фонда нажать </w:t>
      </w:r>
      <w:r>
        <w:drawing>
          <wp:inline distT="0" distB="0" distL="0" distR="0">
            <wp:extent cx="251460" cy="256540"/>
            <wp:effectExtent l="19050" t="19050" r="15240" b="10160"/>
            <wp:docPr id="20299174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17442" name="Рисунок 1"/>
                    <pic:cNvPicPr>
                      <a:picLocks noChangeAspect="1"/>
                    </pic:cNvPicPr>
                  </pic:nvPicPr>
                  <pic:blipFill>
                    <a:blip r:embed="rId82"/>
                    <a:stretch>
                      <a:fillRect/>
                    </a:stretch>
                  </pic:blipFill>
                  <pic:spPr>
                    <a:xfrm>
                      <a:off x="0" y="0"/>
                      <a:ext cx="252000" cy="256582"/>
                    </a:xfrm>
                    <a:prstGeom prst="rect">
                      <a:avLst/>
                    </a:prstGeom>
                    <a:ln w="3175" cmpd="sng">
                      <a:solidFill>
                        <a:srgbClr val="000000"/>
                      </a:solidFill>
                    </a:ln>
                  </pic:spPr>
                </pic:pic>
              </a:graphicData>
            </a:graphic>
          </wp:inline>
        </w:drawing>
      </w:r>
      <w:r>
        <w:t xml:space="preserve"> «Скачать» в правом верхнем углу над таблицей данных. Файл с отчетом в формате </w:t>
      </w:r>
      <w:r>
        <w:rPr>
          <w:lang w:val="en-US"/>
        </w:rPr>
        <w:t>XLSX</w:t>
      </w:r>
      <w:r>
        <w:t xml:space="preserve"> автоматически скачивается локально в папку «Загрузки».</w:t>
      </w:r>
    </w:p>
    <w:p w14:paraId="63AA42C3">
      <w:pPr>
        <w:pStyle w:val="69"/>
      </w:pPr>
      <w:r>
        <w:t xml:space="preserve">Пример отчета приведен на рисунке </w:t>
      </w:r>
      <w:r>
        <w:fldChar w:fldCharType="begin"/>
      </w:r>
      <w:r>
        <w:instrText xml:space="preserve"> REF  _Ref205477128 \h\#\0   \* MERGEFORMAT </w:instrText>
      </w:r>
      <w:r>
        <w:fldChar w:fldCharType="separate"/>
      </w:r>
      <w:r>
        <w:t>155</w:t>
      </w:r>
      <w:r>
        <w:fldChar w:fldCharType="end"/>
      </w:r>
      <w:r>
        <w:t>.</w:t>
      </w:r>
    </w:p>
    <w:p w14:paraId="15D02CD3">
      <w:pPr>
        <w:pStyle w:val="73"/>
      </w:pPr>
      <w:r>
        <w:drawing>
          <wp:inline distT="0" distB="0" distL="0" distR="0">
            <wp:extent cx="6120765" cy="1762125"/>
            <wp:effectExtent l="19050" t="19050" r="13335" b="28575"/>
            <wp:docPr id="104876568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765681" name="Рисунок 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6120765" cy="1762125"/>
                    </a:xfrm>
                    <a:prstGeom prst="rect">
                      <a:avLst/>
                    </a:prstGeom>
                    <a:noFill/>
                    <a:ln w="3175" cmpd="sng">
                      <a:solidFill>
                        <a:srgbClr val="000000"/>
                      </a:solidFill>
                    </a:ln>
                  </pic:spPr>
                </pic:pic>
              </a:graphicData>
            </a:graphic>
          </wp:inline>
        </w:drawing>
      </w:r>
    </w:p>
    <w:p w14:paraId="6E546966">
      <w:pPr>
        <w:pStyle w:val="74"/>
      </w:pPr>
      <w:bookmarkStart w:id="2706" w:name="_Ref205477128"/>
      <w:r>
        <w:t xml:space="preserve">Рисунок </w:t>
      </w:r>
      <w:r>
        <w:fldChar w:fldCharType="begin"/>
      </w:r>
      <w:r>
        <w:instrText xml:space="preserve"> SEQ Рисунок \* ARABIC </w:instrText>
      </w:r>
      <w:r>
        <w:fldChar w:fldCharType="separate"/>
      </w:r>
      <w:r>
        <w:t>155</w:t>
      </w:r>
      <w:r>
        <w:fldChar w:fldCharType="end"/>
      </w:r>
      <w:bookmarkEnd w:id="2706"/>
      <w:r>
        <w:t xml:space="preserve"> — Пример отчета о доступности коечного фонда в режиме фильтрации «Всего». Отчет «Данные витрины»</w:t>
      </w:r>
    </w:p>
    <w:p w14:paraId="375C6A96">
      <w:pPr>
        <w:pStyle w:val="69"/>
      </w:pPr>
      <w:r>
        <w:t>Отчет содержит основные сведения в заголовочной части:</w:t>
      </w:r>
    </w:p>
    <w:p w14:paraId="6F71D222">
      <w:pPr>
        <w:pStyle w:val="76"/>
      </w:pPr>
      <w:r>
        <w:t>«Отчет» — наименование отчета «Данные витрины»;</w:t>
      </w:r>
    </w:p>
    <w:p w14:paraId="7C9753CA">
      <w:pPr>
        <w:pStyle w:val="76"/>
      </w:pPr>
      <w:r>
        <w:t>«Дата, время формирования»;</w:t>
      </w:r>
    </w:p>
    <w:p w14:paraId="54766CE2">
      <w:pPr>
        <w:pStyle w:val="76"/>
      </w:pPr>
      <w:r>
        <w:t>«Дата, время актуализации данных за период»;</w:t>
      </w:r>
    </w:p>
    <w:p w14:paraId="5E3C07B8">
      <w:pPr>
        <w:pStyle w:val="76"/>
      </w:pPr>
      <w:r>
        <w:t>«Дата» — конкретная дата, на которую сформирован отчет о доступности коечного фонда МО;</w:t>
      </w:r>
    </w:p>
    <w:p w14:paraId="40011415">
      <w:pPr>
        <w:pStyle w:val="76"/>
      </w:pPr>
      <w:r>
        <w:t>«Код субъекта МО»;</w:t>
      </w:r>
    </w:p>
    <w:p w14:paraId="046C353C">
      <w:pPr>
        <w:pStyle w:val="76"/>
      </w:pPr>
      <w:r>
        <w:t>«Наименование субъекта»;</w:t>
      </w:r>
    </w:p>
    <w:p w14:paraId="4642FCD6">
      <w:pPr>
        <w:pStyle w:val="76"/>
      </w:pPr>
      <w:r>
        <w:t>«МО (</w:t>
      </w:r>
      <w:r>
        <w:rPr>
          <w:lang w:val="en-US"/>
        </w:rPr>
        <w:t>OID</w:t>
      </w:r>
      <w:r>
        <w:t>)»;</w:t>
      </w:r>
    </w:p>
    <w:p w14:paraId="12EA86DF">
      <w:pPr>
        <w:pStyle w:val="76"/>
      </w:pPr>
      <w:r>
        <w:t>«Краткое наименование медицинской организации».</w:t>
      </w:r>
    </w:p>
    <w:p w14:paraId="4A44C66B">
      <w:pPr>
        <w:pStyle w:val="69"/>
      </w:pPr>
      <w:r>
        <w:t>Табличная часть содержит полные данные о доступности коечного фонда на указанную дату (независимо от настройки пользователем отображения столбцов в графическом интерфейсе пользователя):</w:t>
      </w:r>
    </w:p>
    <w:p w14:paraId="4B7CD38F">
      <w:pPr>
        <w:pStyle w:val="76"/>
      </w:pPr>
      <w:r>
        <w:t>«</w:t>
      </w:r>
      <w:r>
        <w:rPr>
          <w:lang w:val="en-US"/>
        </w:rPr>
        <w:t>OID</w:t>
      </w:r>
      <w:r>
        <w:t xml:space="preserve"> структурного подразделения»;</w:t>
      </w:r>
    </w:p>
    <w:p w14:paraId="0ECCE2E1">
      <w:pPr>
        <w:pStyle w:val="76"/>
      </w:pPr>
      <w:r>
        <w:t>«Наименование структурного подразделения»;</w:t>
      </w:r>
    </w:p>
    <w:p w14:paraId="6528819E">
      <w:pPr>
        <w:pStyle w:val="76"/>
      </w:pPr>
      <w:r>
        <w:t>«</w:t>
      </w:r>
      <w:r>
        <w:rPr>
          <w:lang w:val="en-US"/>
        </w:rPr>
        <w:t>OID</w:t>
      </w:r>
      <w:r>
        <w:t xml:space="preserve"> отделения»;</w:t>
      </w:r>
    </w:p>
    <w:p w14:paraId="5E0166DC">
      <w:pPr>
        <w:pStyle w:val="76"/>
      </w:pPr>
      <w:r>
        <w:t>«Тип отделения»;</w:t>
      </w:r>
    </w:p>
    <w:p w14:paraId="76D3E54D">
      <w:pPr>
        <w:pStyle w:val="76"/>
      </w:pPr>
      <w:r>
        <w:t>«Наименование типа отделения»;</w:t>
      </w:r>
    </w:p>
    <w:p w14:paraId="3A10C3F1">
      <w:pPr>
        <w:pStyle w:val="76"/>
      </w:pPr>
      <w:r>
        <w:t>«Код профиля койки»;</w:t>
      </w:r>
    </w:p>
    <w:p w14:paraId="6AEC96FF">
      <w:pPr>
        <w:pStyle w:val="76"/>
      </w:pPr>
      <w:r>
        <w:t>«Наименование профиля койки»;</w:t>
      </w:r>
    </w:p>
    <w:p w14:paraId="3039CFE4">
      <w:pPr>
        <w:pStyle w:val="76"/>
      </w:pPr>
      <w:r>
        <w:t>«Количество заявленных коек» — по ФРМО;</w:t>
      </w:r>
    </w:p>
    <w:p w14:paraId="34E9216A">
      <w:pPr>
        <w:pStyle w:val="76"/>
      </w:pPr>
      <w:r>
        <w:t>«Занятые койки»;</w:t>
      </w:r>
    </w:p>
    <w:p w14:paraId="6EB3B333">
      <w:pPr>
        <w:pStyle w:val="76"/>
      </w:pPr>
      <w:r>
        <w:t>«Поступившие пациенты за истекшие сутки»;</w:t>
      </w:r>
    </w:p>
    <w:p w14:paraId="7EEEA79B">
      <w:pPr>
        <w:pStyle w:val="76"/>
      </w:pPr>
      <w:r>
        <w:t>«Количество свободных коек профиля»;</w:t>
      </w:r>
    </w:p>
    <w:p w14:paraId="24A0DDB8">
      <w:pPr>
        <w:pStyle w:val="76"/>
      </w:pPr>
      <w:r>
        <w:t>«Выписанные пациенты за истекшие сутки»;</w:t>
      </w:r>
    </w:p>
    <w:p w14:paraId="4A66B1C9">
      <w:pPr>
        <w:pStyle w:val="76"/>
      </w:pPr>
      <w:r>
        <w:t>«СЭФД в статусе черновик»;</w:t>
      </w:r>
    </w:p>
    <w:p w14:paraId="60BF52F8">
      <w:pPr>
        <w:pStyle w:val="76"/>
      </w:pPr>
      <w:r>
        <w:t>«Поступившие пациенты за истекшие сутки, переведенные внутри стационара»;</w:t>
      </w:r>
    </w:p>
    <w:p w14:paraId="26DEE3F7">
      <w:pPr>
        <w:pStyle w:val="76"/>
      </w:pPr>
      <w:r>
        <w:t>«Выписанные пациенты за истекшие сутки, переведенные внутри стационара»;</w:t>
      </w:r>
    </w:p>
    <w:p w14:paraId="4FDC3579">
      <w:pPr>
        <w:pStyle w:val="76"/>
      </w:pPr>
      <w:r>
        <w:t>«Категория обслуживаемого населения» — код;</w:t>
      </w:r>
    </w:p>
    <w:p w14:paraId="3D60CE9A">
      <w:pPr>
        <w:pStyle w:val="76"/>
      </w:pPr>
      <w:r>
        <w:t>«Условия оказания медицинской помощи в отделении»;</w:t>
      </w:r>
    </w:p>
    <w:p w14:paraId="45E2C535">
      <w:pPr>
        <w:pStyle w:val="76"/>
      </w:pPr>
      <w:r>
        <w:t>«Наименование условия оказания медицинской помощи в отделении»;</w:t>
      </w:r>
    </w:p>
    <w:p w14:paraId="27B4653C">
      <w:pPr>
        <w:pStyle w:val="76"/>
      </w:pPr>
      <w:r>
        <w:t>«Код категории обслуживаемого населения»;</w:t>
      </w:r>
    </w:p>
    <w:p w14:paraId="4DFC4C61">
      <w:pPr>
        <w:pStyle w:val="76"/>
      </w:pPr>
      <w:r>
        <w:t>«Наименование категории обслуживаемого населения».</w:t>
      </w:r>
    </w:p>
    <w:p w14:paraId="630B14E1">
      <w:pPr>
        <w:pStyle w:val="69"/>
      </w:pPr>
      <w:r>
        <w:t>Для формирования отчета о доступности коечного фонда МО на текущую дату в разрезе структурного подразделения, отделения или профиля задать в блоке «Параметры отбора» панели фильтрации значения в соответствующих полях:</w:t>
      </w:r>
    </w:p>
    <w:p w14:paraId="3B2CEE4E">
      <w:pPr>
        <w:pStyle w:val="76"/>
      </w:pPr>
      <w:r>
        <w:t>«Структурное подразделение» —ввести код структурного подразделения МО выбором в раскрывающемся справочнике;</w:t>
      </w:r>
    </w:p>
    <w:p w14:paraId="45BEF5C3">
      <w:pPr>
        <w:pStyle w:val="76"/>
      </w:pPr>
      <w:r>
        <w:t>«Отделение» — ввести значение выбором в раскрывающемся справочнике;</w:t>
      </w:r>
    </w:p>
    <w:p w14:paraId="49E701FF">
      <w:pPr>
        <w:pStyle w:val="76"/>
      </w:pPr>
      <w:r>
        <w:t>«Профиль» — ввести значение выбором в раскрывающемся справочнике;</w:t>
      </w:r>
    </w:p>
    <w:p w14:paraId="3E446A67">
      <w:pPr>
        <w:pStyle w:val="76"/>
      </w:pPr>
      <w:r>
        <w:t>«Дата» — обязательное поле, убедиться в корректности выбранной даты.</w:t>
      </w:r>
    </w:p>
    <w:p w14:paraId="61B2D84B">
      <w:pPr>
        <w:pStyle w:val="69"/>
      </w:pPr>
      <w:r>
        <w:t>После нажатия «Найти» формируется отчет о доступности коечного фонда МО на заданную дату в соответствии с заданными параметрами — для структурного подразделения в разрезе отделения или профиля. При этом заданные в панели фильтрации сведения отображаются в заголовочной части. Например:</w:t>
      </w:r>
    </w:p>
    <w:p w14:paraId="25209E26">
      <w:pPr>
        <w:pStyle w:val="76"/>
      </w:pPr>
      <w:r>
        <w:t>«Структурное подразделение (OID)»;</w:t>
      </w:r>
    </w:p>
    <w:p w14:paraId="6F5FD6AB">
      <w:pPr>
        <w:pStyle w:val="76"/>
      </w:pPr>
      <w:r>
        <w:t>«Наименование структурного подразделения»;</w:t>
      </w:r>
    </w:p>
    <w:p w14:paraId="4ABB472C">
      <w:pPr>
        <w:pStyle w:val="76"/>
      </w:pPr>
      <w:r>
        <w:t>«Отделение (OID)»;</w:t>
      </w:r>
    </w:p>
    <w:p w14:paraId="0DA62FF0">
      <w:pPr>
        <w:pStyle w:val="76"/>
      </w:pPr>
      <w:r>
        <w:t>«Тип отделения»;</w:t>
      </w:r>
    </w:p>
    <w:p w14:paraId="3B89D292">
      <w:pPr>
        <w:pStyle w:val="76"/>
      </w:pPr>
      <w:r>
        <w:t>«Наименование типа отделения».</w:t>
      </w:r>
    </w:p>
    <w:p w14:paraId="315FF059">
      <w:pPr>
        <w:pStyle w:val="69"/>
      </w:pPr>
      <w:r>
        <w:t>Для формирования отчета о доступности коечного фонда МО в ОМС на текущую дату в разрезе ОМС выбрать в панели фильтрации режим «В ОМС».</w:t>
      </w:r>
    </w:p>
    <w:p w14:paraId="489460D8">
      <w:pPr>
        <w:pStyle w:val="60"/>
      </w:pPr>
      <w:bookmarkStart w:id="2707" w:name="_Ref205565303"/>
      <w:bookmarkStart w:id="2708" w:name="_Ref205565573"/>
      <w:bookmarkStart w:id="2709" w:name="_Toc205903009"/>
      <w:bookmarkStart w:id="2710" w:name="_Ref205989057"/>
      <w:bookmarkStart w:id="2711" w:name="_Ref206016233"/>
      <w:bookmarkStart w:id="2712" w:name="_Toc225866369"/>
      <w:bookmarkStart w:id="2713" w:name="_Toc204336462"/>
      <w:r>
        <w:t>Просмотр сведений об обороте коечного фонда за период</w:t>
      </w:r>
      <w:bookmarkEnd w:id="2707"/>
      <w:bookmarkEnd w:id="2708"/>
      <w:bookmarkEnd w:id="2709"/>
      <w:bookmarkEnd w:id="2710"/>
      <w:bookmarkEnd w:id="2711"/>
      <w:bookmarkEnd w:id="2712"/>
      <w:bookmarkEnd w:id="2713"/>
    </w:p>
    <w:p w14:paraId="7F54287D">
      <w:pPr>
        <w:pStyle w:val="69"/>
      </w:pPr>
      <w:r>
        <w:t xml:space="preserve">Подраздел «Показатели оборота за период» предназначен для отображения сведений об обороте коечного фонда за указанный период (интервал дат). Просмотреть сведения можно как в графическом интерфейсе пользователя, так и в форме отчета в формате </w:t>
      </w:r>
      <w:r>
        <w:rPr>
          <w:lang w:val="en-US"/>
        </w:rPr>
        <w:t>XLSX</w:t>
      </w:r>
      <w:r>
        <w:t>.</w:t>
      </w:r>
    </w:p>
    <w:p w14:paraId="5AA2446F">
      <w:pPr>
        <w:pStyle w:val="69"/>
      </w:pPr>
      <w:r>
        <w:t>Для перехода в подраздел выбрать вкладку «Показатели оборота за период».</w:t>
      </w:r>
    </w:p>
    <w:p w14:paraId="1E284E70">
      <w:pPr>
        <w:pStyle w:val="69"/>
      </w:pPr>
      <w:r>
        <w:t>Информационная строка подраздела (рис.</w:t>
      </w:r>
      <w:r>
        <w:fldChar w:fldCharType="begin"/>
      </w:r>
      <w:r>
        <w:instrText xml:space="preserve"> REF  _Ref205989272 \h \t\#\-0   \* MERGEFORMAT </w:instrText>
      </w:r>
      <w:r>
        <w:fldChar w:fldCharType="separate"/>
      </w:r>
      <w:r>
        <w:t xml:space="preserve"> 156</w:t>
      </w:r>
      <w:r>
        <w:fldChar w:fldCharType="end"/>
      </w:r>
      <w:r>
        <w:t>) содержит наименование подраздела «Коечный фонд».</w:t>
      </w:r>
    </w:p>
    <w:p w14:paraId="0B55D8AF">
      <w:pPr>
        <w:pStyle w:val="73"/>
      </w:pPr>
      <w:r>
        <w:rPr>
          <w:lang w:val="en-US"/>
        </w:rPr>
        <w:drawing>
          <wp:inline distT="0" distB="0" distL="0" distR="0">
            <wp:extent cx="6119495" cy="3037840"/>
            <wp:effectExtent l="19050" t="19050" r="14605" b="10160"/>
            <wp:docPr id="3816714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671406" name="Рисунок 1"/>
                    <pic:cNvPicPr>
                      <a:picLocks noChangeAspect="1"/>
                    </pic:cNvPicPr>
                  </pic:nvPicPr>
                  <pic:blipFill>
                    <a:blip r:embed="rId187"/>
                    <a:stretch>
                      <a:fillRect/>
                    </a:stretch>
                  </pic:blipFill>
                  <pic:spPr>
                    <a:xfrm>
                      <a:off x="0" y="0"/>
                      <a:ext cx="6119495" cy="3037840"/>
                    </a:xfrm>
                    <a:prstGeom prst="rect">
                      <a:avLst/>
                    </a:prstGeom>
                    <a:ln w="3175" cmpd="sng">
                      <a:solidFill>
                        <a:srgbClr val="000000"/>
                      </a:solidFill>
                    </a:ln>
                  </pic:spPr>
                </pic:pic>
              </a:graphicData>
            </a:graphic>
          </wp:inline>
        </w:drawing>
      </w:r>
    </w:p>
    <w:p w14:paraId="77667BAD">
      <w:pPr>
        <w:pStyle w:val="74"/>
      </w:pPr>
      <w:bookmarkStart w:id="2714" w:name="_Ref205989272"/>
      <w:r>
        <w:t xml:space="preserve">Рисунок </w:t>
      </w:r>
      <w:r>
        <w:fldChar w:fldCharType="begin"/>
      </w:r>
      <w:r>
        <w:instrText xml:space="preserve"> SEQ Рисунок \* ARABIC </w:instrText>
      </w:r>
      <w:r>
        <w:fldChar w:fldCharType="separate"/>
      </w:r>
      <w:r>
        <w:t>156</w:t>
      </w:r>
      <w:r>
        <w:fldChar w:fldCharType="end"/>
      </w:r>
      <w:bookmarkEnd w:id="2714"/>
      <w:r>
        <w:t xml:space="preserve"> — Коечный фонд. Подраздел «Показатели оборота за период»</w:t>
      </w:r>
    </w:p>
    <w:p w14:paraId="31A38E57">
      <w:pPr>
        <w:pStyle w:val="69"/>
      </w:pPr>
      <w:r>
        <w:t xml:space="preserve">В блоке «Фильтр» (рис. </w:t>
      </w:r>
      <w:r>
        <w:fldChar w:fldCharType="begin"/>
      </w:r>
      <w:r>
        <w:instrText xml:space="preserve"> REF  _Ref205555984 \h\#\0   \* MERGEFORMAT </w:instrText>
      </w:r>
      <w:r>
        <w:fldChar w:fldCharType="separate"/>
      </w:r>
      <w:r>
        <w:t>157</w:t>
      </w:r>
      <w:r>
        <w:fldChar w:fldCharType="end"/>
      </w:r>
      <w:r>
        <w:t>) задать параметры отбора. Поля выбора МО и дат начала и окончания периода просмотра являются обязательными для заполнения.</w:t>
      </w:r>
    </w:p>
    <w:p w14:paraId="6A98680F">
      <w:pPr>
        <w:pStyle w:val="69"/>
      </w:pPr>
      <w:r>
        <w:t>В блоке «Параметры отбора» доступен выбор параметров:</w:t>
      </w:r>
    </w:p>
    <w:p w14:paraId="7F731ABF">
      <w:pPr>
        <w:pStyle w:val="76"/>
      </w:pPr>
      <w:r>
        <w:t>«МО» — обязательный параметр. код медицинской организации в ФРМО, данные по которой требуется получить;</w:t>
      </w:r>
    </w:p>
    <w:p w14:paraId="7DD5FBDB">
      <w:pPr>
        <w:pStyle w:val="76"/>
      </w:pPr>
      <w:r>
        <w:t>«Структурное подразделение» — структурное подразделение МО по данным ФРМО;</w:t>
      </w:r>
    </w:p>
    <w:p w14:paraId="152C051C">
      <w:pPr>
        <w:pStyle w:val="76"/>
      </w:pPr>
      <w:r>
        <w:t>«Отделение» — отделение МО по данным ФРМО, зависит от выбранного структурного подразделения;</w:t>
      </w:r>
    </w:p>
    <w:p w14:paraId="54CCC316">
      <w:pPr>
        <w:pStyle w:val="76"/>
      </w:pPr>
      <w:r>
        <w:t>«Профиль» — профиль койки МО по данным ФРМО;</w:t>
      </w:r>
    </w:p>
    <w:p w14:paraId="4E64FA82">
      <w:pPr>
        <w:pStyle w:val="76"/>
      </w:pPr>
      <w:r>
        <w:t>«Дата (с)» — обязательный параметр. Учитываются сведения с 09:00 истекших суток до 09:00 даты поиска;</w:t>
      </w:r>
    </w:p>
    <w:p w14:paraId="12EB2D10">
      <w:pPr>
        <w:pStyle w:val="76"/>
      </w:pPr>
      <w:r>
        <w:t>«Дата (по)» — обязательный параметр. Учитываются сведения с 09:00 истекших суток до 09:00 даты поиска</w:t>
      </w:r>
    </w:p>
    <w:p w14:paraId="632C7E80">
      <w:pPr>
        <w:pStyle w:val="73"/>
      </w:pPr>
      <w:r>
        <w:drawing>
          <wp:inline distT="0" distB="0" distL="0" distR="0">
            <wp:extent cx="2159635" cy="2686050"/>
            <wp:effectExtent l="19050" t="19050" r="12065" b="19050"/>
            <wp:docPr id="6767603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760359" name="Рисунок 1"/>
                    <pic:cNvPicPr>
                      <a:picLocks noChangeAspect="1"/>
                    </pic:cNvPicPr>
                  </pic:nvPicPr>
                  <pic:blipFill>
                    <a:blip r:embed="rId188"/>
                    <a:stretch>
                      <a:fillRect/>
                    </a:stretch>
                  </pic:blipFill>
                  <pic:spPr>
                    <a:xfrm>
                      <a:off x="0" y="0"/>
                      <a:ext cx="2160000" cy="2686538"/>
                    </a:xfrm>
                    <a:prstGeom prst="rect">
                      <a:avLst/>
                    </a:prstGeom>
                    <a:ln w="3175" cmpd="sng">
                      <a:solidFill>
                        <a:srgbClr val="000000"/>
                      </a:solidFill>
                    </a:ln>
                  </pic:spPr>
                </pic:pic>
              </a:graphicData>
            </a:graphic>
          </wp:inline>
        </w:drawing>
      </w:r>
    </w:p>
    <w:p w14:paraId="3CFDDD7A">
      <w:pPr>
        <w:pStyle w:val="74"/>
      </w:pPr>
      <w:bookmarkStart w:id="2715" w:name="_Ref205555984"/>
      <w:r>
        <w:t xml:space="preserve">Рисунок </w:t>
      </w:r>
      <w:r>
        <w:fldChar w:fldCharType="begin"/>
      </w:r>
      <w:r>
        <w:instrText xml:space="preserve"> SEQ Рисунок \* ARABIC </w:instrText>
      </w:r>
      <w:r>
        <w:fldChar w:fldCharType="separate"/>
      </w:r>
      <w:r>
        <w:t>157</w:t>
      </w:r>
      <w:r>
        <w:fldChar w:fldCharType="end"/>
      </w:r>
      <w:bookmarkEnd w:id="2715"/>
      <w:r>
        <w:t xml:space="preserve"> — Параметры отбора данных вкладки «Показатели оборота за период»</w:t>
      </w:r>
    </w:p>
    <w:p w14:paraId="72265727">
      <w:pPr>
        <w:pStyle w:val="69"/>
      </w:pPr>
      <w:r>
        <w:t xml:space="preserve">После указания необходимых параметров отбора данных, включая обязательные, отмеченные символом «*» нажать «Найти». Результаты отбора и агрегации данных отобразятся в рабочей области (рис. </w:t>
      </w:r>
      <w:r>
        <w:fldChar w:fldCharType="begin"/>
      </w:r>
      <w:r>
        <w:instrText xml:space="preserve"> REF  _Ref205476931 \h\#\0   \* MERGEFORMAT </w:instrText>
      </w:r>
      <w:r>
        <w:fldChar w:fldCharType="separate"/>
      </w:r>
      <w:r>
        <w:t>158</w:t>
      </w:r>
      <w:r>
        <w:fldChar w:fldCharType="end"/>
      </w:r>
      <w:r>
        <w:t>).</w:t>
      </w:r>
    </w:p>
    <w:p w14:paraId="43EA5819">
      <w:pPr>
        <w:pStyle w:val="73"/>
      </w:pPr>
      <w:r>
        <w:drawing>
          <wp:inline distT="0" distB="0" distL="0" distR="0">
            <wp:extent cx="6120765" cy="2938780"/>
            <wp:effectExtent l="19050" t="19050" r="13335" b="13970"/>
            <wp:docPr id="12284536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53614" name="Рисунок 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6120765" cy="2938780"/>
                    </a:xfrm>
                    <a:prstGeom prst="rect">
                      <a:avLst/>
                    </a:prstGeom>
                    <a:noFill/>
                    <a:ln w="3175" cmpd="sng">
                      <a:solidFill>
                        <a:srgbClr val="000000"/>
                      </a:solidFill>
                    </a:ln>
                  </pic:spPr>
                </pic:pic>
              </a:graphicData>
            </a:graphic>
          </wp:inline>
        </w:drawing>
      </w:r>
    </w:p>
    <w:p w14:paraId="10428456">
      <w:pPr>
        <w:pStyle w:val="74"/>
      </w:pPr>
      <w:bookmarkStart w:id="2716" w:name="_Ref205476931"/>
      <w:r>
        <w:t xml:space="preserve">Рисунок </w:t>
      </w:r>
      <w:r>
        <w:fldChar w:fldCharType="begin"/>
      </w:r>
      <w:r>
        <w:instrText xml:space="preserve"> SEQ Рисунок \* ARABIC </w:instrText>
      </w:r>
      <w:r>
        <w:fldChar w:fldCharType="separate"/>
      </w:r>
      <w:r>
        <w:t>158</w:t>
      </w:r>
      <w:r>
        <w:fldChar w:fldCharType="end"/>
      </w:r>
      <w:bookmarkEnd w:id="2716"/>
      <w:r>
        <w:t xml:space="preserve"> — Результаты отбора и агрегации данных на вкладке «Показатели оборота за период»</w:t>
      </w:r>
    </w:p>
    <w:p w14:paraId="62DB9522">
      <w:pPr>
        <w:pStyle w:val="69"/>
      </w:pPr>
      <w:r>
        <w:t>Информационная строка содержит количество найденных записей, дату и время последнего обновления и кнопку «Обновить». Кнопка «Обновить» повторяет последний запрос к подсистеме с учетом параметров отбора, заданных в последнем выполненном запросе.</w:t>
      </w:r>
    </w:p>
    <w:p w14:paraId="1CF5148B">
      <w:pPr>
        <w:pStyle w:val="69"/>
      </w:pPr>
      <w:r>
        <w:t>В табличной части по умолчанию отображаются следующие сведения:</w:t>
      </w:r>
    </w:p>
    <w:p w14:paraId="0121CE26">
      <w:pPr>
        <w:pStyle w:val="76"/>
      </w:pPr>
      <w:r>
        <w:t>«Профиль койки» — код и наименование профиля койки МО по данным ФРМО;</w:t>
      </w:r>
    </w:p>
    <w:p w14:paraId="08EE3D62">
      <w:pPr>
        <w:pStyle w:val="76"/>
      </w:pPr>
      <w:r>
        <w:t>«Среднее число дней занятости коек в периоде» — количество дней в движении отделения/Количество заявленных коек;</w:t>
      </w:r>
    </w:p>
    <w:p w14:paraId="36B58736">
      <w:pPr>
        <w:pStyle w:val="76"/>
      </w:pPr>
      <w:r>
        <w:t>«Количество госпитализаций на койки» — количество поступивших пациентов за период с детализацией в разрезе:</w:t>
      </w:r>
    </w:p>
    <w:p w14:paraId="6D10E0D8">
      <w:pPr>
        <w:pStyle w:val="78"/>
        <w:numPr>
          <w:ilvl w:val="0"/>
          <w:numId w:val="9"/>
        </w:numPr>
      </w:pPr>
      <w:r>
        <w:t>«Количество»;</w:t>
      </w:r>
    </w:p>
    <w:p w14:paraId="3B8EA5DF">
      <w:pPr>
        <w:pStyle w:val="78"/>
        <w:numPr>
          <w:ilvl w:val="0"/>
          <w:numId w:val="9"/>
        </w:numPr>
      </w:pPr>
      <w:r>
        <w:t>«ТПГГ и ПГГ» — код МО в ОМС;</w:t>
      </w:r>
    </w:p>
    <w:p w14:paraId="6A7E28F6">
      <w:pPr>
        <w:pStyle w:val="78"/>
        <w:numPr>
          <w:ilvl w:val="0"/>
          <w:numId w:val="9"/>
        </w:numPr>
      </w:pPr>
      <w:r>
        <w:t>«Всего»;</w:t>
      </w:r>
    </w:p>
    <w:p w14:paraId="04F6541D">
      <w:pPr>
        <w:pStyle w:val="76"/>
      </w:pPr>
      <w:r>
        <w:t>«Количество выбывших с коек» — количество выписанных пациентов за период с детализацией в разрезе:</w:t>
      </w:r>
    </w:p>
    <w:p w14:paraId="7905A1D7">
      <w:pPr>
        <w:pStyle w:val="78"/>
        <w:numPr>
          <w:ilvl w:val="0"/>
          <w:numId w:val="9"/>
        </w:numPr>
      </w:pPr>
      <w:r>
        <w:t>«Количество»;</w:t>
      </w:r>
    </w:p>
    <w:p w14:paraId="681EB5FB">
      <w:pPr>
        <w:pStyle w:val="78"/>
        <w:numPr>
          <w:ilvl w:val="0"/>
          <w:numId w:val="9"/>
        </w:numPr>
      </w:pPr>
      <w:r>
        <w:t>«ТПГГ и ПГГ» — код МО в ОМС;</w:t>
      </w:r>
    </w:p>
    <w:p w14:paraId="7D384834">
      <w:pPr>
        <w:pStyle w:val="78"/>
        <w:numPr>
          <w:ilvl w:val="0"/>
          <w:numId w:val="9"/>
        </w:numPr>
      </w:pPr>
      <w:r>
        <w:t>«Всего»;</w:t>
      </w:r>
    </w:p>
    <w:p w14:paraId="7336F3EA">
      <w:pPr>
        <w:pStyle w:val="76"/>
      </w:pPr>
      <w:r>
        <w:t>«Оборот коек» — показатель интенсивности использования коечного фонда, рассчитываемый как отношение общего числа пролеченных пациентов (поступившие + выбывшие + умершие) к удвоенному среднегодовому количеству коек. Отражает частоту сменяемости пациентов на одной койке за определенный период и применяется для анализа эффективности работы стационара;</w:t>
      </w:r>
    </w:p>
    <w:p w14:paraId="1E38501F">
      <w:pPr>
        <w:pStyle w:val="76"/>
      </w:pPr>
      <w:r>
        <w:t>«Средняя продолжительность нахождения пациента на койке в стационаре» — рассчитывается как общее количество койко-дней за год, поделенное на число выбывших пациентов (включая выписанных и умерших). Этот показатель помогает оценить, сколько дней в среднем занимает лечение одного пациента.</w:t>
      </w:r>
    </w:p>
    <w:p w14:paraId="71666F54">
      <w:pPr>
        <w:pStyle w:val="69"/>
      </w:pPr>
      <w:r>
        <w:t xml:space="preserve">Часть столбцов скрыта. Для просмотра всех показателей воспользоваться элементом управления </w:t>
      </w:r>
      <w:r>
        <w:drawing>
          <wp:inline distT="0" distB="0" distL="0" distR="0">
            <wp:extent cx="179705" cy="191770"/>
            <wp:effectExtent l="19050" t="19050" r="10795" b="17780"/>
            <wp:docPr id="2031113846" name="Рисунок 203111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13846" name="Рисунок 2031113846"/>
                    <pic:cNvPicPr>
                      <a:picLocks noChangeAspect="1"/>
                    </pic:cNvPicPr>
                  </pic:nvPicPr>
                  <pic:blipFill>
                    <a:blip r:embed="rId32"/>
                    <a:stretch>
                      <a:fillRect/>
                    </a:stretch>
                  </pic:blipFill>
                  <pic:spPr>
                    <a:xfrm>
                      <a:off x="0" y="0"/>
                      <a:ext cx="180000" cy="192000"/>
                    </a:xfrm>
                    <a:prstGeom prst="rect">
                      <a:avLst/>
                    </a:prstGeom>
                    <a:ln w="3175" cmpd="sng">
                      <a:solidFill>
                        <a:srgbClr val="000000"/>
                      </a:solidFill>
                    </a:ln>
                  </pic:spPr>
                </pic:pic>
              </a:graphicData>
            </a:graphic>
          </wp:inline>
        </w:drawing>
      </w:r>
      <w:r>
        <w:t xml:space="preserve"> «Настройка» и выбрать в панели настройки показатели для отображения в графическом интерфейсе пользователя. Для просмотра всех показателей воспользоваться полосой прокрутки справа (рис.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205989319 \</w:instrText>
      </w:r>
      <w:r>
        <w:rPr>
          <w:lang w:val="en-US"/>
        </w:rPr>
        <w:instrText xml:space="preserve">h</w:instrText>
      </w:r>
      <w:r>
        <w:instrText xml:space="preserve"> \</w:instrText>
      </w:r>
      <w:r>
        <w:rPr>
          <w:lang w:val="en-US"/>
        </w:rPr>
        <w:instrText xml:space="preserve">t</w:instrText>
      </w:r>
      <w:r>
        <w:instrText xml:space="preserve">\#\0   \* </w:instrText>
      </w:r>
      <w:r>
        <w:rPr>
          <w:lang w:val="en-US"/>
        </w:rPr>
        <w:instrText xml:space="preserve">MERGEFORMAT</w:instrText>
      </w:r>
      <w:r>
        <w:instrText xml:space="preserve"> </w:instrText>
      </w:r>
      <w:r>
        <w:rPr>
          <w:lang w:val="en-US"/>
        </w:rPr>
        <w:fldChar w:fldCharType="separate"/>
      </w:r>
      <w:r>
        <w:t>159</w:t>
      </w:r>
      <w:r>
        <w:rPr>
          <w:lang w:val="en-US"/>
        </w:rPr>
        <w:fldChar w:fldCharType="end"/>
      </w:r>
      <w:r>
        <w:t>).</w:t>
      </w:r>
    </w:p>
    <w:p w14:paraId="01C9E0F5">
      <w:pPr>
        <w:pStyle w:val="71"/>
      </w:pPr>
      <w:r>
        <w:t>Примечание — При формировании отчета выгружаются данные оборота коечного фонда по всем показателям независимо от настройки отображения пользователем.</w:t>
      </w:r>
    </w:p>
    <w:p w14:paraId="38C7B8CC">
      <w:pPr>
        <w:pStyle w:val="73"/>
      </w:pPr>
      <w:r>
        <w:drawing>
          <wp:inline distT="0" distB="0" distL="0" distR="0">
            <wp:extent cx="2343150" cy="3057525"/>
            <wp:effectExtent l="19050" t="19050" r="19050" b="28575"/>
            <wp:docPr id="13088770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877022" name="Рисунок 1"/>
                    <pic:cNvPicPr>
                      <a:picLocks noChangeAspect="1"/>
                    </pic:cNvPicPr>
                  </pic:nvPicPr>
                  <pic:blipFill>
                    <a:blip r:embed="rId190"/>
                    <a:stretch>
                      <a:fillRect/>
                    </a:stretch>
                  </pic:blipFill>
                  <pic:spPr>
                    <a:xfrm>
                      <a:off x="0" y="0"/>
                      <a:ext cx="2343477" cy="3057952"/>
                    </a:xfrm>
                    <a:prstGeom prst="rect">
                      <a:avLst/>
                    </a:prstGeom>
                    <a:ln w="3175" cmpd="sng">
                      <a:solidFill>
                        <a:srgbClr val="000000"/>
                      </a:solidFill>
                    </a:ln>
                  </pic:spPr>
                </pic:pic>
              </a:graphicData>
            </a:graphic>
          </wp:inline>
        </w:drawing>
      </w:r>
    </w:p>
    <w:p w14:paraId="610940E1">
      <w:pPr>
        <w:pStyle w:val="74"/>
      </w:pPr>
      <w:bookmarkStart w:id="2717" w:name="_Ref205989319"/>
      <w:r>
        <w:t xml:space="preserve">Рисунок </w:t>
      </w:r>
      <w:r>
        <w:fldChar w:fldCharType="begin"/>
      </w:r>
      <w:r>
        <w:instrText xml:space="preserve"> SEQ Рисунок \* ARABIC </w:instrText>
      </w:r>
      <w:r>
        <w:fldChar w:fldCharType="separate"/>
      </w:r>
      <w:r>
        <w:t>159</w:t>
      </w:r>
      <w:r>
        <w:fldChar w:fldCharType="end"/>
      </w:r>
      <w:bookmarkEnd w:id="2717"/>
      <w:r>
        <w:t xml:space="preserve"> — Настройка отображения данных оборота коечного фонда в графическом интерфейсе пользователя</w:t>
      </w:r>
    </w:p>
    <w:p w14:paraId="3B0ACF41">
      <w:pPr>
        <w:pStyle w:val="69"/>
      </w:pPr>
      <w:r>
        <w:t>Показатели, скрытые по умолчанию:</w:t>
      </w:r>
    </w:p>
    <w:p w14:paraId="28BDD073">
      <w:pPr>
        <w:pStyle w:val="76"/>
      </w:pPr>
      <w:r>
        <w:t>«Код субъекта МО»;</w:t>
      </w:r>
    </w:p>
    <w:p w14:paraId="14F28B78">
      <w:pPr>
        <w:pStyle w:val="76"/>
      </w:pPr>
      <w:r>
        <w:t>«Наименование субъекта»;</w:t>
      </w:r>
    </w:p>
    <w:p w14:paraId="37DD3D35">
      <w:pPr>
        <w:pStyle w:val="76"/>
      </w:pPr>
      <w:r>
        <w:t>«OID медицинской организации»;</w:t>
      </w:r>
    </w:p>
    <w:p w14:paraId="3D81E016">
      <w:pPr>
        <w:pStyle w:val="76"/>
      </w:pPr>
      <w:r>
        <w:t>«Краткое наим. мед. организации»;</w:t>
      </w:r>
    </w:p>
    <w:p w14:paraId="3A7E90EC">
      <w:pPr>
        <w:pStyle w:val="76"/>
      </w:pPr>
      <w:r>
        <w:t>«OID структурного подразделения»;</w:t>
      </w:r>
    </w:p>
    <w:p w14:paraId="248A7AEA">
      <w:pPr>
        <w:pStyle w:val="76"/>
      </w:pPr>
      <w:r>
        <w:t>«Наим. структурного подразделения»;</w:t>
      </w:r>
    </w:p>
    <w:p w14:paraId="6F9A19ED">
      <w:pPr>
        <w:pStyle w:val="76"/>
      </w:pPr>
      <w:r>
        <w:t>«OID отделения»;</w:t>
      </w:r>
    </w:p>
    <w:p w14:paraId="05E19EC6">
      <w:pPr>
        <w:pStyle w:val="76"/>
      </w:pPr>
      <w:r>
        <w:t>«Тип отделения»;</w:t>
      </w:r>
    </w:p>
    <w:p w14:paraId="3B94C734">
      <w:pPr>
        <w:pStyle w:val="76"/>
      </w:pPr>
      <w:r>
        <w:t>«Наим. типа отделения»;</w:t>
      </w:r>
    </w:p>
    <w:p w14:paraId="55AAF559">
      <w:pPr>
        <w:pStyle w:val="76"/>
      </w:pPr>
      <w:r>
        <w:t>«Условия оказания МП» — код и наименование условий оказания медицинской помощи;</w:t>
      </w:r>
    </w:p>
    <w:p w14:paraId="1A9340E9">
      <w:pPr>
        <w:pStyle w:val="76"/>
      </w:pPr>
      <w:r>
        <w:t>«Категория обслуживаемого населения» — код и наименование категории обслуживаемого населения. Возможный варианты:</w:t>
      </w:r>
    </w:p>
    <w:p w14:paraId="1E2DDB80">
      <w:pPr>
        <w:pStyle w:val="78"/>
        <w:numPr>
          <w:ilvl w:val="0"/>
          <w:numId w:val="9"/>
        </w:numPr>
      </w:pPr>
      <w:r>
        <w:t>«1» — отделение обслуживает только взрослых;</w:t>
      </w:r>
    </w:p>
    <w:p w14:paraId="604A8175">
      <w:pPr>
        <w:pStyle w:val="78"/>
        <w:numPr>
          <w:ilvl w:val="0"/>
          <w:numId w:val="9"/>
        </w:numPr>
      </w:pPr>
      <w:r>
        <w:t>«2» — отделение обслуживает только детей;</w:t>
      </w:r>
    </w:p>
    <w:p w14:paraId="25555C0B">
      <w:pPr>
        <w:pStyle w:val="78"/>
        <w:numPr>
          <w:ilvl w:val="0"/>
          <w:numId w:val="9"/>
        </w:numPr>
      </w:pPr>
      <w:r>
        <w:t>«3» — отделение обслуживает и взрослых, и детей.</w:t>
      </w:r>
    </w:p>
    <w:p w14:paraId="56B8D31C">
      <w:pPr>
        <w:pStyle w:val="69"/>
      </w:pPr>
      <w:r>
        <w:t>Для просмотра всех данных в столбцах табличной части воспользоваться полосой прокрутки в нижней части страницы.</w:t>
      </w:r>
    </w:p>
    <w:p w14:paraId="0B87AD18">
      <w:pPr>
        <w:pStyle w:val="69"/>
      </w:pPr>
      <w:r>
        <w:t>Для просмотра всех записей воспользоваться полосой прокрутки справа.</w:t>
      </w:r>
    </w:p>
    <w:p w14:paraId="6F0835FA">
      <w:pPr>
        <w:pStyle w:val="69"/>
      </w:pPr>
      <w:r>
        <w:t xml:space="preserve">При наведении указателя на пиктограмму </w:t>
      </w:r>
      <w:r>
        <w:drawing>
          <wp:inline distT="0" distB="0" distL="0" distR="0">
            <wp:extent cx="209550" cy="219075"/>
            <wp:effectExtent l="19050" t="19050" r="19050" b="28575"/>
            <wp:docPr id="15206540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654074" name="Рисунок 1"/>
                    <pic:cNvPicPr>
                      <a:picLocks noChangeAspect="1"/>
                    </pic:cNvPicPr>
                  </pic:nvPicPr>
                  <pic:blipFill>
                    <a:blip r:embed="rId183"/>
                    <a:stretch>
                      <a:fillRect/>
                    </a:stretch>
                  </pic:blipFill>
                  <pic:spPr>
                    <a:xfrm>
                      <a:off x="0" y="0"/>
                      <a:ext cx="209579" cy="219106"/>
                    </a:xfrm>
                    <a:prstGeom prst="rect">
                      <a:avLst/>
                    </a:prstGeom>
                    <a:ln w="3175" cmpd="sng">
                      <a:solidFill>
                        <a:srgbClr val="000000"/>
                      </a:solidFill>
                    </a:ln>
                  </pic:spPr>
                </pic:pic>
              </a:graphicData>
            </a:graphic>
          </wp:inline>
        </w:drawing>
      </w:r>
      <w:r>
        <w:t xml:space="preserve"> «Информация» в столбцах с наименованием показателя в табличной части или в панели настройки отображения столбцов отображаются правила формирования значения показателя (рис. </w:t>
      </w:r>
      <w:r>
        <w:fldChar w:fldCharType="begin"/>
      </w:r>
      <w:r>
        <w:instrText xml:space="preserve"> REF  _Ref205989345 \h \t\#\0   \* MERGEFORMAT </w:instrText>
      </w:r>
      <w:r>
        <w:fldChar w:fldCharType="separate"/>
      </w:r>
      <w:r>
        <w:t>160</w:t>
      </w:r>
      <w:r>
        <w:fldChar w:fldCharType="end"/>
      </w:r>
      <w:r>
        <w:t xml:space="preserve"> и </w:t>
      </w:r>
      <w:r>
        <w:fldChar w:fldCharType="begin"/>
      </w:r>
      <w:r>
        <w:instrText xml:space="preserve"> REF  _Ref205989361 \h \t\#\0   \* MERGEFORMAT </w:instrText>
      </w:r>
      <w:r>
        <w:fldChar w:fldCharType="separate"/>
      </w:r>
      <w:r>
        <w:t>161</w:t>
      </w:r>
      <w:r>
        <w:fldChar w:fldCharType="end"/>
      </w:r>
      <w:r>
        <w:t>).</w:t>
      </w:r>
    </w:p>
    <w:p w14:paraId="290BA3DE">
      <w:pPr>
        <w:pStyle w:val="73"/>
      </w:pPr>
      <w:r>
        <w:drawing>
          <wp:inline distT="0" distB="0" distL="0" distR="0">
            <wp:extent cx="2159635" cy="1514475"/>
            <wp:effectExtent l="19050" t="19050" r="12065" b="9525"/>
            <wp:docPr id="18129115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11520" name="Рисунок 1"/>
                    <pic:cNvPicPr>
                      <a:picLocks noChangeAspect="1"/>
                    </pic:cNvPicPr>
                  </pic:nvPicPr>
                  <pic:blipFill>
                    <a:blip r:embed="rId191"/>
                    <a:stretch>
                      <a:fillRect/>
                    </a:stretch>
                  </pic:blipFill>
                  <pic:spPr>
                    <a:xfrm>
                      <a:off x="0" y="0"/>
                      <a:ext cx="2160000" cy="1514581"/>
                    </a:xfrm>
                    <a:prstGeom prst="rect">
                      <a:avLst/>
                    </a:prstGeom>
                    <a:ln w="3175" cmpd="sng">
                      <a:solidFill>
                        <a:srgbClr val="000000"/>
                      </a:solidFill>
                    </a:ln>
                  </pic:spPr>
                </pic:pic>
              </a:graphicData>
            </a:graphic>
          </wp:inline>
        </w:drawing>
      </w:r>
    </w:p>
    <w:p w14:paraId="3E9A52CA">
      <w:pPr>
        <w:pStyle w:val="74"/>
      </w:pPr>
      <w:bookmarkStart w:id="2718" w:name="_Ref205989345"/>
      <w:r>
        <w:t xml:space="preserve">Рисунок </w:t>
      </w:r>
      <w:r>
        <w:fldChar w:fldCharType="begin"/>
      </w:r>
      <w:r>
        <w:instrText xml:space="preserve"> SEQ Рисунок \* ARABIC </w:instrText>
      </w:r>
      <w:r>
        <w:fldChar w:fldCharType="separate"/>
      </w:r>
      <w:r>
        <w:t>160</w:t>
      </w:r>
      <w:r>
        <w:fldChar w:fldCharType="end"/>
      </w:r>
      <w:bookmarkEnd w:id="2718"/>
    </w:p>
    <w:p w14:paraId="4166F2BD">
      <w:pPr>
        <w:pStyle w:val="73"/>
      </w:pPr>
      <w:r>
        <w:drawing>
          <wp:inline distT="0" distB="0" distL="0" distR="0">
            <wp:extent cx="2159635" cy="2269490"/>
            <wp:effectExtent l="19050" t="19050" r="12065" b="16510"/>
            <wp:docPr id="3486966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696665" name="Рисунок 1"/>
                    <pic:cNvPicPr>
                      <a:picLocks noChangeAspect="1"/>
                    </pic:cNvPicPr>
                  </pic:nvPicPr>
                  <pic:blipFill>
                    <a:blip r:embed="rId192"/>
                    <a:stretch>
                      <a:fillRect/>
                    </a:stretch>
                  </pic:blipFill>
                  <pic:spPr>
                    <a:xfrm>
                      <a:off x="0" y="0"/>
                      <a:ext cx="2160000" cy="2269688"/>
                    </a:xfrm>
                    <a:prstGeom prst="rect">
                      <a:avLst/>
                    </a:prstGeom>
                    <a:ln w="3175" cmpd="sng">
                      <a:solidFill>
                        <a:srgbClr val="000000"/>
                      </a:solidFill>
                    </a:ln>
                  </pic:spPr>
                </pic:pic>
              </a:graphicData>
            </a:graphic>
          </wp:inline>
        </w:drawing>
      </w:r>
    </w:p>
    <w:p w14:paraId="257B10F5">
      <w:pPr>
        <w:pStyle w:val="74"/>
      </w:pPr>
      <w:bookmarkStart w:id="2719" w:name="_Ref205989361"/>
      <w:r>
        <w:t xml:space="preserve">Рисунок </w:t>
      </w:r>
      <w:r>
        <w:fldChar w:fldCharType="begin"/>
      </w:r>
      <w:r>
        <w:instrText xml:space="preserve"> SEQ Рисунок \* ARABIC </w:instrText>
      </w:r>
      <w:r>
        <w:fldChar w:fldCharType="separate"/>
      </w:r>
      <w:r>
        <w:t>161</w:t>
      </w:r>
      <w:r>
        <w:fldChar w:fldCharType="end"/>
      </w:r>
      <w:bookmarkEnd w:id="2719"/>
    </w:p>
    <w:p w14:paraId="7D4647BD">
      <w:pPr>
        <w:pStyle w:val="69"/>
      </w:pPr>
      <w:r>
        <w:t xml:space="preserve">Для просмотра показателей оборота за период для МО </w:t>
      </w:r>
      <w:bookmarkStart w:id="2720" w:name="_Hlk205558521"/>
      <w:r>
        <w:t>в разрезе структурного подразделения, отделения или профиля</w:t>
      </w:r>
      <w:bookmarkEnd w:id="2720"/>
      <w:r>
        <w:t xml:space="preserve"> задать в блоке «Параметры отбора» панели фильтрации значения в соответствующих полях:</w:t>
      </w:r>
    </w:p>
    <w:p w14:paraId="0C3B1B78">
      <w:pPr>
        <w:pStyle w:val="76"/>
      </w:pPr>
      <w:r>
        <w:t>«Структурное подразделение» —ввести код структурного подразделения МО выбором в раскрывающемся справочнике;</w:t>
      </w:r>
    </w:p>
    <w:p w14:paraId="52997D2B">
      <w:pPr>
        <w:pStyle w:val="76"/>
      </w:pPr>
      <w:r>
        <w:t>«Отделение» — ввести значение выбором в раскрывающемся справочнике;</w:t>
      </w:r>
    </w:p>
    <w:p w14:paraId="6563CBC3">
      <w:pPr>
        <w:pStyle w:val="76"/>
      </w:pPr>
      <w:r>
        <w:t>«Профиль» — ввести значение выбором в раскрывающемся справочнике.</w:t>
      </w:r>
    </w:p>
    <w:p w14:paraId="408CDC52">
      <w:pPr>
        <w:pStyle w:val="69"/>
      </w:pPr>
      <w:r>
        <w:t xml:space="preserve">Нажать кнопку «Найти». В рабочей области отобразятся сведения, удовлетворяющие заданным параметрам отбора (рис. </w:t>
      </w:r>
      <w:r>
        <w:fldChar w:fldCharType="begin"/>
      </w:r>
      <w:r>
        <w:instrText xml:space="preserve"> REF  _Ref205558423 \h\#\0   \* MERGEFORMAT </w:instrText>
      </w:r>
      <w:r>
        <w:fldChar w:fldCharType="separate"/>
      </w:r>
      <w:r>
        <w:t>162</w:t>
      </w:r>
      <w:r>
        <w:fldChar w:fldCharType="end"/>
      </w:r>
      <w:r>
        <w:t>).</w:t>
      </w:r>
    </w:p>
    <w:p w14:paraId="76ECFF84">
      <w:pPr>
        <w:pStyle w:val="73"/>
      </w:pPr>
      <w:r>
        <w:drawing>
          <wp:inline distT="0" distB="0" distL="0" distR="0">
            <wp:extent cx="6119495" cy="1354455"/>
            <wp:effectExtent l="19050" t="19050" r="14605" b="17145"/>
            <wp:docPr id="133768736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687360" name="Рисунок 1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6120000" cy="1354681"/>
                    </a:xfrm>
                    <a:prstGeom prst="rect">
                      <a:avLst/>
                    </a:prstGeom>
                    <a:noFill/>
                    <a:ln w="3175" cmpd="sng">
                      <a:solidFill>
                        <a:srgbClr val="000000"/>
                      </a:solidFill>
                    </a:ln>
                  </pic:spPr>
                </pic:pic>
              </a:graphicData>
            </a:graphic>
          </wp:inline>
        </w:drawing>
      </w:r>
    </w:p>
    <w:p w14:paraId="7D1360F6">
      <w:pPr>
        <w:pStyle w:val="74"/>
      </w:pPr>
      <w:bookmarkStart w:id="2721" w:name="_Ref205558423"/>
      <w:r>
        <w:t xml:space="preserve">Рисунок </w:t>
      </w:r>
      <w:r>
        <w:fldChar w:fldCharType="begin"/>
      </w:r>
      <w:r>
        <w:instrText xml:space="preserve"> SEQ Рисунок \* ARABIC </w:instrText>
      </w:r>
      <w:r>
        <w:fldChar w:fldCharType="separate"/>
      </w:r>
      <w:r>
        <w:t>162</w:t>
      </w:r>
      <w:r>
        <w:fldChar w:fldCharType="end"/>
      </w:r>
      <w:bookmarkEnd w:id="2721"/>
      <w:r>
        <w:t xml:space="preserve"> — Раздел «Показатели оборота за период» в разрезе структурного подразделения, отделения или профиля</w:t>
      </w:r>
    </w:p>
    <w:p w14:paraId="6B7BC0DD">
      <w:pPr>
        <w:pStyle w:val="69"/>
      </w:pPr>
      <w:r>
        <w:t xml:space="preserve">Чтобы скачать данные в форме отчета по показателям оборота коечного фонда за период нажать </w:t>
      </w:r>
      <w:r>
        <w:drawing>
          <wp:inline distT="0" distB="0" distL="0" distR="0">
            <wp:extent cx="251460" cy="256540"/>
            <wp:effectExtent l="19050" t="19050" r="15240" b="10160"/>
            <wp:docPr id="7456929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692977" name="Рисунок 1"/>
                    <pic:cNvPicPr>
                      <a:picLocks noChangeAspect="1"/>
                    </pic:cNvPicPr>
                  </pic:nvPicPr>
                  <pic:blipFill>
                    <a:blip r:embed="rId82"/>
                    <a:stretch>
                      <a:fillRect/>
                    </a:stretch>
                  </pic:blipFill>
                  <pic:spPr>
                    <a:xfrm>
                      <a:off x="0" y="0"/>
                      <a:ext cx="252000" cy="256582"/>
                    </a:xfrm>
                    <a:prstGeom prst="rect">
                      <a:avLst/>
                    </a:prstGeom>
                    <a:ln w="3175" cmpd="sng">
                      <a:solidFill>
                        <a:srgbClr val="000000"/>
                      </a:solidFill>
                    </a:ln>
                  </pic:spPr>
                </pic:pic>
              </a:graphicData>
            </a:graphic>
          </wp:inline>
        </w:drawing>
      </w:r>
      <w:r>
        <w:t xml:space="preserve"> «Скачать» в правом верхнем углу над таблицей данных. Файл с отчетом в формате </w:t>
      </w:r>
      <w:r>
        <w:rPr>
          <w:lang w:val="en-US"/>
        </w:rPr>
        <w:t>XLSX</w:t>
      </w:r>
      <w:r>
        <w:t xml:space="preserve"> автоматически скачивается локально в папку «Загрузки».</w:t>
      </w:r>
    </w:p>
    <w:p w14:paraId="62AD3BA8">
      <w:pPr>
        <w:pStyle w:val="69"/>
      </w:pPr>
      <w:bookmarkStart w:id="2722" w:name="_Hlk214637659"/>
      <w:r>
        <w:t>Отчет о доступности коечного фонда МО содержит основные сведения в заголовочной части:</w:t>
      </w:r>
    </w:p>
    <w:p w14:paraId="2AD681EF">
      <w:pPr>
        <w:pStyle w:val="76"/>
      </w:pPr>
      <w:r>
        <w:t>«Отчет» — наименование отчета «Показатели оборота за период»;</w:t>
      </w:r>
    </w:p>
    <w:p w14:paraId="024388DE">
      <w:pPr>
        <w:pStyle w:val="76"/>
      </w:pPr>
      <w:r>
        <w:t>«Дата, время формирования» — дата и время создания данного отчета в системе;</w:t>
      </w:r>
    </w:p>
    <w:p w14:paraId="73E6545C">
      <w:pPr>
        <w:pStyle w:val="76"/>
      </w:pPr>
      <w:r>
        <w:t>«Дата, время актуализации данных за период» — дата и время последнего обновления информации в витрине данных;</w:t>
      </w:r>
    </w:p>
    <w:p w14:paraId="663F319A">
      <w:pPr>
        <w:pStyle w:val="76"/>
        <w:keepNext/>
      </w:pPr>
      <w:r>
        <w:t>«Период» — диапазон дат, указанный в модуле фильтрации (блок «Фильтр»), который служит ограничивающим условием для извлечения и агрегации данных при формировании итогового отчета:</w:t>
      </w:r>
    </w:p>
    <w:p w14:paraId="215ECC2B">
      <w:pPr>
        <w:pStyle w:val="78"/>
        <w:numPr>
          <w:ilvl w:val="0"/>
          <w:numId w:val="9"/>
        </w:numPr>
      </w:pPr>
      <w:r>
        <w:t>Дата с;</w:t>
      </w:r>
    </w:p>
    <w:p w14:paraId="4CCB64B0">
      <w:pPr>
        <w:pStyle w:val="78"/>
        <w:numPr>
          <w:ilvl w:val="0"/>
          <w:numId w:val="9"/>
        </w:numPr>
      </w:pPr>
      <w:r>
        <w:t>Дата по;</w:t>
      </w:r>
    </w:p>
    <w:p w14:paraId="2A2C0B00">
      <w:pPr>
        <w:pStyle w:val="76"/>
      </w:pPr>
      <w:bookmarkStart w:id="2723" w:name="_Hlk214637723"/>
      <w:r>
        <w:t>Код субъекта МО</w:t>
      </w:r>
      <w:r>
        <w:rPr>
          <w:lang w:val="en-US"/>
        </w:rPr>
        <w:t>;</w:t>
      </w:r>
    </w:p>
    <w:p w14:paraId="51C51247">
      <w:pPr>
        <w:pStyle w:val="76"/>
      </w:pPr>
      <w:r>
        <w:t>Наименование субъекта</w:t>
      </w:r>
      <w:r>
        <w:rPr>
          <w:lang w:val="en-US"/>
        </w:rPr>
        <w:t>;</w:t>
      </w:r>
    </w:p>
    <w:p w14:paraId="31E29053">
      <w:pPr>
        <w:pStyle w:val="76"/>
      </w:pPr>
      <w:r>
        <w:t>МО (</w:t>
      </w:r>
      <w:r>
        <w:rPr>
          <w:lang w:val="en-US"/>
        </w:rPr>
        <w:t>OID</w:t>
      </w:r>
      <w:r>
        <w:t>);</w:t>
      </w:r>
    </w:p>
    <w:bookmarkEnd w:id="2723"/>
    <w:p w14:paraId="6D851F61">
      <w:pPr>
        <w:pStyle w:val="76"/>
      </w:pPr>
      <w:bookmarkStart w:id="2724" w:name="_Hlk214637633"/>
      <w:r>
        <w:t>Краткое наименование медицинской организации</w:t>
      </w:r>
      <w:bookmarkEnd w:id="2724"/>
      <w:r>
        <w:rPr>
          <w:lang w:val="en-US"/>
        </w:rPr>
        <w:t>;</w:t>
      </w:r>
    </w:p>
    <w:p w14:paraId="2C267EEA">
      <w:pPr>
        <w:pStyle w:val="76"/>
      </w:pPr>
      <w:r>
        <w:t>Постоянные параметры отчета, явно заданные в фильтре.</w:t>
      </w:r>
    </w:p>
    <w:p w14:paraId="390A5ED2">
      <w:pPr>
        <w:pStyle w:val="69"/>
      </w:pPr>
      <w:r>
        <w:t xml:space="preserve">Табличная часть содержит полные данные об обороте коечного фонда за указанный период на основе данных витрины (независимо от настройки пользователем отображения столбцов в графическом интерфейсе пользователя). Пример отчета приведен на рисунке </w:t>
      </w:r>
      <w:r>
        <w:fldChar w:fldCharType="begin"/>
      </w:r>
      <w:r>
        <w:instrText xml:space="preserve"> REF  _Ref205989396 \h \t\#\0   \* MERGEFORMAT </w:instrText>
      </w:r>
      <w:r>
        <w:fldChar w:fldCharType="separate"/>
      </w:r>
      <w:r>
        <w:t>163</w:t>
      </w:r>
      <w:r>
        <w:fldChar w:fldCharType="end"/>
      </w:r>
      <w:bookmarkEnd w:id="2722"/>
      <w:r>
        <w:t>.</w:t>
      </w:r>
    </w:p>
    <w:p w14:paraId="5DE47847">
      <w:pPr>
        <w:pStyle w:val="73"/>
      </w:pPr>
      <w:r>
        <w:drawing>
          <wp:inline distT="0" distB="0" distL="0" distR="0">
            <wp:extent cx="6119495" cy="1846580"/>
            <wp:effectExtent l="19050" t="19050" r="14605" b="20320"/>
            <wp:docPr id="5533197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319742" name="Рисунок 1"/>
                    <pic:cNvPicPr>
                      <a:picLocks noChangeAspect="1"/>
                    </pic:cNvPicPr>
                  </pic:nvPicPr>
                  <pic:blipFill>
                    <a:blip r:embed="rId194"/>
                    <a:stretch>
                      <a:fillRect/>
                    </a:stretch>
                  </pic:blipFill>
                  <pic:spPr>
                    <a:xfrm>
                      <a:off x="0" y="0"/>
                      <a:ext cx="6119495" cy="1846580"/>
                    </a:xfrm>
                    <a:prstGeom prst="rect">
                      <a:avLst/>
                    </a:prstGeom>
                    <a:ln w="3175" cmpd="sng">
                      <a:solidFill>
                        <a:srgbClr val="000000"/>
                      </a:solidFill>
                    </a:ln>
                  </pic:spPr>
                </pic:pic>
              </a:graphicData>
            </a:graphic>
          </wp:inline>
        </w:drawing>
      </w:r>
    </w:p>
    <w:p w14:paraId="20E71B67">
      <w:pPr>
        <w:pStyle w:val="74"/>
      </w:pPr>
      <w:bookmarkStart w:id="2725" w:name="_Ref205989396"/>
      <w:r>
        <w:t xml:space="preserve">Рисунок </w:t>
      </w:r>
      <w:r>
        <w:fldChar w:fldCharType="begin"/>
      </w:r>
      <w:r>
        <w:instrText xml:space="preserve"> SEQ Рисунок \* ARABIC </w:instrText>
      </w:r>
      <w:r>
        <w:fldChar w:fldCharType="separate"/>
      </w:r>
      <w:r>
        <w:t>163</w:t>
      </w:r>
      <w:r>
        <w:fldChar w:fldCharType="end"/>
      </w:r>
      <w:bookmarkEnd w:id="2725"/>
      <w:r>
        <w:t xml:space="preserve"> — </w:t>
      </w:r>
      <w:bookmarkStart w:id="2726" w:name="_Hlk214637786"/>
      <w:r>
        <w:t>Пример отчета «Показатели оборота за период»</w:t>
      </w:r>
      <w:bookmarkEnd w:id="2726"/>
    </w:p>
    <w:p w14:paraId="5D130F90">
      <w:pPr>
        <w:pStyle w:val="69"/>
      </w:pPr>
      <w:r>
        <w:t>Для формирования отчета «Показатели оборота за период» для МО в разрезе структурного подразделения, отделения или профиля задать в блоке «Параметры отбора» панели фильтрации значения в соответствующих полях:</w:t>
      </w:r>
    </w:p>
    <w:p w14:paraId="3F48FCA7">
      <w:pPr>
        <w:pStyle w:val="76"/>
      </w:pPr>
      <w:r>
        <w:t>«Структурное подразделение» —ввести код структурного подразделения МО выбором в раскрывающемся справочнике;</w:t>
      </w:r>
    </w:p>
    <w:p w14:paraId="6E115760">
      <w:pPr>
        <w:pStyle w:val="76"/>
      </w:pPr>
      <w:r>
        <w:t>«Отделение» — ввести значение выбором в раскрывающемся справочнике;</w:t>
      </w:r>
    </w:p>
    <w:p w14:paraId="2A51ED5F">
      <w:pPr>
        <w:pStyle w:val="76"/>
      </w:pPr>
      <w:r>
        <w:t>«Профиль» — ввести значение выбором в раскрывающемся справочнике.</w:t>
      </w:r>
    </w:p>
    <w:p w14:paraId="240C13C7">
      <w:pPr>
        <w:pStyle w:val="69"/>
      </w:pPr>
      <w:r>
        <w:t>После нажатия «Найти» формируется отчет с показателями оборота коечного фонда МО на заданный период в соответствии с выбранными параметрами — для структурного подразделения в разрезе отделения или профиля.</w:t>
      </w:r>
    </w:p>
    <w:p w14:paraId="7E5F90F5">
      <w:pPr>
        <w:pStyle w:val="60"/>
      </w:pPr>
      <w:bookmarkStart w:id="2727" w:name="_Toc204336465"/>
      <w:bookmarkStart w:id="2728" w:name="_Ref205565515"/>
      <w:bookmarkStart w:id="2729" w:name="_Ref205989100"/>
      <w:bookmarkStart w:id="2730" w:name="_Ref205565305"/>
      <w:bookmarkStart w:id="2731" w:name="_Toc225866370"/>
      <w:bookmarkStart w:id="2732" w:name="_Toc205903010"/>
      <w:bookmarkStart w:id="2733" w:name="_Ref206016241"/>
      <w:r>
        <w:t>Просмотр сведений по планируемым показателям свободных мест</w:t>
      </w:r>
      <w:bookmarkEnd w:id="2727"/>
      <w:bookmarkEnd w:id="2728"/>
      <w:bookmarkEnd w:id="2729"/>
      <w:bookmarkEnd w:id="2730"/>
      <w:bookmarkEnd w:id="2731"/>
      <w:bookmarkEnd w:id="2732"/>
      <w:bookmarkEnd w:id="2733"/>
    </w:p>
    <w:p w14:paraId="3348F4C6">
      <w:pPr>
        <w:pStyle w:val="69"/>
      </w:pPr>
      <w:r>
        <w:t>Сведения по планируемым показателям свободных мест отображаются в подразделе «Свободные места».</w:t>
      </w:r>
    </w:p>
    <w:p w14:paraId="10E32DD1">
      <w:pPr>
        <w:pStyle w:val="69"/>
      </w:pPr>
      <w:r>
        <w:t>Данные подраздела предназначены для анализа количества свободных мест для госпитализации в плановом порядке в разрезе профилей (отделений) медицинской помощи на текущий день и на ближайшие 14 календарных дней с указанием планируемой даты освобождения места согласно п. 263, б) Правил ОМС (Приказ 108н)</w:t>
      </w:r>
      <w:r>
        <w:rPr>
          <w:rStyle w:val="13"/>
        </w:rPr>
        <w:footnoteReference w:id="5"/>
      </w:r>
      <w:r>
        <w:t>.</w:t>
      </w:r>
    </w:p>
    <w:p w14:paraId="76617540">
      <w:pPr>
        <w:pStyle w:val="69"/>
      </w:pPr>
      <w:r>
        <w:t>Подраздел содержит сведения по планируемым показателям в разрезе параметров:</w:t>
      </w:r>
    </w:p>
    <w:p w14:paraId="13DC1FA6">
      <w:pPr>
        <w:pStyle w:val="76"/>
      </w:pPr>
      <w:r>
        <w:t>«Количество освобождающихся коек»;</w:t>
      </w:r>
    </w:p>
    <w:p w14:paraId="7EB6DF78">
      <w:pPr>
        <w:pStyle w:val="76"/>
      </w:pPr>
      <w:r>
        <w:t>«Плановое количество занятых коек»;</w:t>
      </w:r>
    </w:p>
    <w:p w14:paraId="48A7F953">
      <w:pPr>
        <w:pStyle w:val="76"/>
      </w:pPr>
      <w:r>
        <w:t>«Плановой количество свободных коек» — на плановый период (14 дней);</w:t>
      </w:r>
    </w:p>
    <w:p w14:paraId="6F14D35F">
      <w:pPr>
        <w:pStyle w:val="76"/>
      </w:pPr>
      <w:r>
        <w:t>«Количество заявленных коек»;</w:t>
      </w:r>
    </w:p>
    <w:p w14:paraId="0CFDC4C6">
      <w:pPr>
        <w:pStyle w:val="76"/>
      </w:pPr>
      <w:r>
        <w:t>«Количество свободных коек» на текущую дату.</w:t>
      </w:r>
    </w:p>
    <w:p w14:paraId="7E728AB6">
      <w:pPr>
        <w:pStyle w:val="69"/>
      </w:pPr>
      <w:r>
        <w:t>Для перехода в подраздел выбрать в разделе «Коечный фонд» вкладку «Свободные места». В рабочей области отобразится подраздел «Свободные места» (рис.</w:t>
      </w:r>
      <w:r>
        <w:rPr>
          <w:lang w:val="en-US"/>
        </w:rPr>
        <w:t xml:space="preserve"> </w:t>
      </w:r>
      <w:r>
        <w:rPr>
          <w:lang w:val="en-US"/>
        </w:rPr>
        <w:fldChar w:fldCharType="begin"/>
      </w:r>
      <w:r>
        <w:rPr>
          <w:lang w:val="en-US"/>
        </w:rPr>
        <w:instrText xml:space="preserve"> REF  _Ref205989421 \h \t\#\0   \* MERGEFORMAT </w:instrText>
      </w:r>
      <w:r>
        <w:rPr>
          <w:lang w:val="en-US"/>
        </w:rPr>
        <w:fldChar w:fldCharType="separate"/>
      </w:r>
      <w:r>
        <w:rPr>
          <w:lang w:val="en-US"/>
        </w:rPr>
        <w:t>164</w:t>
      </w:r>
      <w:r>
        <w:rPr>
          <w:lang w:val="en-US"/>
        </w:rPr>
        <w:fldChar w:fldCharType="end"/>
      </w:r>
      <w:r>
        <w:t>).</w:t>
      </w:r>
    </w:p>
    <w:p w14:paraId="0B405D75">
      <w:pPr>
        <w:pStyle w:val="73"/>
      </w:pPr>
      <w:r>
        <w:drawing>
          <wp:inline distT="0" distB="0" distL="0" distR="0">
            <wp:extent cx="6119495" cy="2809875"/>
            <wp:effectExtent l="19050" t="19050" r="14605" b="28575"/>
            <wp:docPr id="6014292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429284" name="Рисунок 1"/>
                    <pic:cNvPicPr>
                      <a:picLocks noChangeAspect="1"/>
                    </pic:cNvPicPr>
                  </pic:nvPicPr>
                  <pic:blipFill>
                    <a:blip r:embed="rId195"/>
                    <a:stretch>
                      <a:fillRect/>
                    </a:stretch>
                  </pic:blipFill>
                  <pic:spPr>
                    <a:xfrm>
                      <a:off x="0" y="0"/>
                      <a:ext cx="6119495" cy="2809875"/>
                    </a:xfrm>
                    <a:prstGeom prst="rect">
                      <a:avLst/>
                    </a:prstGeom>
                    <a:ln w="3175" cmpd="sng">
                      <a:solidFill>
                        <a:srgbClr val="000000"/>
                      </a:solidFill>
                    </a:ln>
                  </pic:spPr>
                </pic:pic>
              </a:graphicData>
            </a:graphic>
          </wp:inline>
        </w:drawing>
      </w:r>
    </w:p>
    <w:p w14:paraId="3F4E165D">
      <w:pPr>
        <w:pStyle w:val="74"/>
      </w:pPr>
      <w:bookmarkStart w:id="2734" w:name="_Ref205989421"/>
      <w:r>
        <w:t xml:space="preserve">Рисунок </w:t>
      </w:r>
      <w:r>
        <w:fldChar w:fldCharType="begin"/>
      </w:r>
      <w:r>
        <w:instrText xml:space="preserve"> SEQ Рисунок \* ARABIC </w:instrText>
      </w:r>
      <w:r>
        <w:fldChar w:fldCharType="separate"/>
      </w:r>
      <w:r>
        <w:t>164</w:t>
      </w:r>
      <w:r>
        <w:fldChar w:fldCharType="end"/>
      </w:r>
      <w:bookmarkEnd w:id="2734"/>
      <w:r>
        <w:t xml:space="preserve"> — Коечный фонд. Подраздел «Свободные места»</w:t>
      </w:r>
    </w:p>
    <w:p w14:paraId="31BCC4DA">
      <w:pPr>
        <w:pStyle w:val="69"/>
      </w:pPr>
      <w:r>
        <w:t>В панели «Фильтр» в блоке «Параметры отбора» доступен выбор параметров:</w:t>
      </w:r>
    </w:p>
    <w:p w14:paraId="31D8BB95">
      <w:pPr>
        <w:pStyle w:val="76"/>
      </w:pPr>
      <w:r>
        <w:t>«Всего» или «В ОМС» — по умолчанию установлено значение «Всего»;</w:t>
      </w:r>
    </w:p>
    <w:p w14:paraId="62A11B8B">
      <w:pPr>
        <w:pStyle w:val="76"/>
      </w:pPr>
      <w:r>
        <w:t>«Код субъекта МО» — код субъекта согласно справочнику F010;</w:t>
      </w:r>
    </w:p>
    <w:p w14:paraId="59AA8A39">
      <w:pPr>
        <w:pStyle w:val="76"/>
      </w:pPr>
      <w:r>
        <w:t>«МО» — выбор медицинской организации по ОИД МО согласно данным ФРМО;</w:t>
      </w:r>
    </w:p>
    <w:p w14:paraId="7E8587AB">
      <w:pPr>
        <w:pStyle w:val="76"/>
      </w:pPr>
      <w:r>
        <w:t>«Структурное подразделение»;</w:t>
      </w:r>
    </w:p>
    <w:p w14:paraId="63B29897">
      <w:pPr>
        <w:pStyle w:val="76"/>
      </w:pPr>
      <w:r>
        <w:t>«Отделение»;</w:t>
      </w:r>
    </w:p>
    <w:p w14:paraId="5594C13B">
      <w:pPr>
        <w:pStyle w:val="76"/>
      </w:pPr>
      <w:r>
        <w:t>«Профиль».</w:t>
      </w:r>
    </w:p>
    <w:p w14:paraId="46C5CF3F">
      <w:pPr>
        <w:pStyle w:val="69"/>
      </w:pPr>
      <w:r>
        <w:t>В панели «Фильтр» в поле «МО» указать медицинскую организацию и нажать «Найти».</w:t>
      </w:r>
    </w:p>
    <w:p w14:paraId="2DAC836C">
      <w:pPr>
        <w:pStyle w:val="69"/>
      </w:pPr>
      <w:r>
        <w:t>В рабочей области в режиме «Всего» отобразятся показатели, соответствующие критериям отбора (рис. </w:t>
      </w:r>
      <w:r>
        <w:fldChar w:fldCharType="begin"/>
      </w:r>
      <w:r>
        <w:instrText xml:space="preserve"> REF  _Ref205561950 \h\#\0   \* MERGEFORMAT </w:instrText>
      </w:r>
      <w:r>
        <w:fldChar w:fldCharType="separate"/>
      </w:r>
      <w:r>
        <w:t>165</w:t>
      </w:r>
      <w:r>
        <w:fldChar w:fldCharType="end"/>
      </w:r>
      <w:r>
        <w:t>). Планируемые показатели рассчитываются на планируемую дату за истекшие сутки от нее — с 9:00 дня накануне планируемой даты (включительно) до 9:00 дня планируемой даты (не включительно) с учетом:</w:t>
      </w:r>
    </w:p>
    <w:p w14:paraId="4E3A906A">
      <w:pPr>
        <w:pStyle w:val="76"/>
      </w:pPr>
      <w:r>
        <w:t>профиля койки;</w:t>
      </w:r>
    </w:p>
    <w:p w14:paraId="37C3059B">
      <w:pPr>
        <w:pStyle w:val="76"/>
      </w:pPr>
      <w:r>
        <w:t>категории обслуживаемого населения;</w:t>
      </w:r>
    </w:p>
    <w:p w14:paraId="4FBACFA4">
      <w:pPr>
        <w:pStyle w:val="76"/>
      </w:pPr>
      <w:r>
        <w:t>условий оказания МП;</w:t>
      </w:r>
    </w:p>
    <w:p w14:paraId="4CBCB998">
      <w:pPr>
        <w:pStyle w:val="76"/>
      </w:pPr>
      <w:r>
        <w:t>типа отделения;</w:t>
      </w:r>
    </w:p>
    <w:p w14:paraId="7F28CF16">
      <w:pPr>
        <w:pStyle w:val="76"/>
      </w:pPr>
      <w:r>
        <w:t>OID отделения;</w:t>
      </w:r>
    </w:p>
    <w:p w14:paraId="5B9D7B26">
      <w:pPr>
        <w:pStyle w:val="76"/>
      </w:pPr>
      <w:r>
        <w:t>OID структурного подразделения;</w:t>
      </w:r>
    </w:p>
    <w:p w14:paraId="438A39E5">
      <w:pPr>
        <w:pStyle w:val="76"/>
      </w:pPr>
      <w:r>
        <w:t>OID медицинской организации.</w:t>
      </w:r>
    </w:p>
    <w:p w14:paraId="28DBDEE9">
      <w:pPr>
        <w:pStyle w:val="73"/>
      </w:pPr>
      <w:r>
        <w:drawing>
          <wp:inline distT="0" distB="0" distL="0" distR="0">
            <wp:extent cx="6120765" cy="1932305"/>
            <wp:effectExtent l="19050" t="19050" r="13335" b="10795"/>
            <wp:docPr id="14281036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103639" name="Рисунок 9"/>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6120765" cy="1932305"/>
                    </a:xfrm>
                    <a:prstGeom prst="rect">
                      <a:avLst/>
                    </a:prstGeom>
                    <a:noFill/>
                    <a:ln w="3175" cmpd="sng">
                      <a:solidFill>
                        <a:srgbClr val="000000"/>
                      </a:solidFill>
                    </a:ln>
                  </pic:spPr>
                </pic:pic>
              </a:graphicData>
            </a:graphic>
          </wp:inline>
        </w:drawing>
      </w:r>
    </w:p>
    <w:p w14:paraId="16034685">
      <w:pPr>
        <w:pStyle w:val="74"/>
      </w:pPr>
      <w:bookmarkStart w:id="2735" w:name="_Ref205561950"/>
      <w:r>
        <w:t xml:space="preserve">Рисунок </w:t>
      </w:r>
      <w:r>
        <w:fldChar w:fldCharType="begin"/>
      </w:r>
      <w:r>
        <w:instrText xml:space="preserve"> SEQ Рисунок \* ARABIC </w:instrText>
      </w:r>
      <w:r>
        <w:fldChar w:fldCharType="separate"/>
      </w:r>
      <w:r>
        <w:t>165</w:t>
      </w:r>
      <w:r>
        <w:fldChar w:fldCharType="end"/>
      </w:r>
      <w:bookmarkEnd w:id="2735"/>
      <w:r>
        <w:t xml:space="preserve"> — Подраздел «Свободные места»</w:t>
      </w:r>
    </w:p>
    <w:p w14:paraId="16B526CC">
      <w:pPr>
        <w:pStyle w:val="69"/>
      </w:pPr>
      <w:r>
        <w:t xml:space="preserve">В информационной строке под лентой выбора вкладок раздела «Коечный фонд» отображается количество записей, удовлетворяющих критериям отбора в поле «Найдено», дата и время последнего обновления и кнопка </w:t>
      </w:r>
      <w:r>
        <w:drawing>
          <wp:inline distT="0" distB="0" distL="0" distR="0">
            <wp:extent cx="215900" cy="223520"/>
            <wp:effectExtent l="19050" t="19050" r="12700" b="24130"/>
            <wp:docPr id="7092202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220240" name="Рисунок 1"/>
                    <pic:cNvPicPr>
                      <a:picLocks noChangeAspect="1"/>
                    </pic:cNvPicPr>
                  </pic:nvPicPr>
                  <pic:blipFill>
                    <a:blip r:embed="rId177"/>
                    <a:stretch>
                      <a:fillRect/>
                    </a:stretch>
                  </pic:blipFill>
                  <pic:spPr>
                    <a:xfrm>
                      <a:off x="0" y="0"/>
                      <a:ext cx="216000" cy="224000"/>
                    </a:xfrm>
                    <a:prstGeom prst="rect">
                      <a:avLst/>
                    </a:prstGeom>
                    <a:ln w="3175" cmpd="sng">
                      <a:solidFill>
                        <a:srgbClr val="000000"/>
                      </a:solidFill>
                    </a:ln>
                  </pic:spPr>
                </pic:pic>
              </a:graphicData>
            </a:graphic>
          </wp:inline>
        </w:drawing>
      </w:r>
      <w:r>
        <w:t xml:space="preserve"> «Обновить». При нажатии кнопки повторяется последний запрос к подсистеме с учетом параметров отбора, заданных в последнем выполненном запросе.</w:t>
      </w:r>
    </w:p>
    <w:p w14:paraId="3E9E28B7">
      <w:pPr>
        <w:pStyle w:val="69"/>
      </w:pPr>
      <w:r>
        <w:t>Табличная часть содержит основные сведения для выбранной МО на текущую дату и на ближайшие 14 календарных дней:</w:t>
      </w:r>
    </w:p>
    <w:p w14:paraId="548CCEB1">
      <w:pPr>
        <w:pStyle w:val="76"/>
      </w:pPr>
      <w:r>
        <w:t>«Профиль койки» — код и наименование профиля койки;</w:t>
      </w:r>
    </w:p>
    <w:p w14:paraId="38E250D1">
      <w:pPr>
        <w:pStyle w:val="76"/>
      </w:pPr>
      <w:r>
        <w:t>«Дата» — отображается текущая дата;</w:t>
      </w:r>
    </w:p>
    <w:p w14:paraId="5D4326B5">
      <w:pPr>
        <w:pStyle w:val="76"/>
      </w:pPr>
      <w:r>
        <w:t>«Количество заявленных коек» — количество заявленных коек по отделению и профилю коек по данным ФРМО на текущую дату;</w:t>
      </w:r>
    </w:p>
    <w:p w14:paraId="7430E436">
      <w:pPr>
        <w:pStyle w:val="76"/>
      </w:pPr>
      <w:r>
        <w:t>«Количество свободных коек» — количество свободных коек на текущую дату;</w:t>
      </w:r>
    </w:p>
    <w:p w14:paraId="12AFF27E">
      <w:pPr>
        <w:pStyle w:val="76"/>
      </w:pPr>
      <w:r>
        <w:t>«Планируемая дата» — начиная с текущей даты и на 14 календарных дней после нее;</w:t>
      </w:r>
    </w:p>
    <w:p w14:paraId="02F67D74">
      <w:pPr>
        <w:pStyle w:val="76"/>
      </w:pPr>
      <w:r>
        <w:t>«Планируемые показатели»:</w:t>
      </w:r>
    </w:p>
    <w:p w14:paraId="45378F07">
      <w:pPr>
        <w:pStyle w:val="78"/>
        <w:numPr>
          <w:ilvl w:val="0"/>
          <w:numId w:val="9"/>
        </w:numPr>
      </w:pPr>
      <w:r>
        <w:t>«Количество освобождающихся коек» — количество освобождающихся коек на планируемую дату;</w:t>
      </w:r>
    </w:p>
    <w:p w14:paraId="7F76C8BF">
      <w:pPr>
        <w:pStyle w:val="78"/>
        <w:numPr>
          <w:ilvl w:val="0"/>
          <w:numId w:val="9"/>
        </w:numPr>
      </w:pPr>
      <w:r>
        <w:t>«Плановое количество занятых коек» — плановое количество занятых коек на планируемую дату;</w:t>
      </w:r>
    </w:p>
    <w:p w14:paraId="0B0049FE">
      <w:pPr>
        <w:pStyle w:val="78"/>
        <w:numPr>
          <w:ilvl w:val="0"/>
          <w:numId w:val="9"/>
        </w:numPr>
      </w:pPr>
      <w:r>
        <w:t>«Плановое количество свободных коек» — из количества заявленных коек вычитается плановое количество свободных коек;</w:t>
      </w:r>
    </w:p>
    <w:p w14:paraId="25233977">
      <w:pPr>
        <w:pStyle w:val="76"/>
      </w:pPr>
      <w:r>
        <w:t>«Код субъекта МО»;</w:t>
      </w:r>
    </w:p>
    <w:p w14:paraId="536059CE">
      <w:pPr>
        <w:pStyle w:val="76"/>
      </w:pPr>
      <w:r>
        <w:t>«Наименование субъекта»;</w:t>
      </w:r>
    </w:p>
    <w:p w14:paraId="326209EE">
      <w:pPr>
        <w:pStyle w:val="76"/>
      </w:pPr>
      <w:r>
        <w:t>«OID медицинской организации»;</w:t>
      </w:r>
    </w:p>
    <w:p w14:paraId="7623BDFC">
      <w:pPr>
        <w:pStyle w:val="76"/>
      </w:pPr>
      <w:r>
        <w:t>«Краткое наим. мед. организации»;</w:t>
      </w:r>
    </w:p>
    <w:p w14:paraId="543C542C">
      <w:pPr>
        <w:pStyle w:val="76"/>
      </w:pPr>
      <w:r>
        <w:t>«OID структурного подразделения»;</w:t>
      </w:r>
    </w:p>
    <w:p w14:paraId="2975FDEB">
      <w:pPr>
        <w:pStyle w:val="76"/>
      </w:pPr>
      <w:r>
        <w:t>«Наим. структурного подразделения»;</w:t>
      </w:r>
    </w:p>
    <w:p w14:paraId="2E9AE35C">
      <w:pPr>
        <w:pStyle w:val="76"/>
      </w:pPr>
      <w:r>
        <w:t>«OID отделения»;</w:t>
      </w:r>
    </w:p>
    <w:p w14:paraId="071102BD">
      <w:pPr>
        <w:pStyle w:val="76"/>
      </w:pPr>
      <w:r>
        <w:t>«Тип отделения»;</w:t>
      </w:r>
    </w:p>
    <w:p w14:paraId="32A2B69F">
      <w:pPr>
        <w:pStyle w:val="76"/>
      </w:pPr>
      <w:r>
        <w:t>«Наим. типа отделения»;</w:t>
      </w:r>
    </w:p>
    <w:p w14:paraId="2744C0D0">
      <w:pPr>
        <w:pStyle w:val="76"/>
      </w:pPr>
      <w:r>
        <w:t>«Условия оказания МП» — код и наименование условий оказания медицинской помощи;</w:t>
      </w:r>
    </w:p>
    <w:p w14:paraId="13A5B73E">
      <w:pPr>
        <w:pStyle w:val="76"/>
      </w:pPr>
      <w:r>
        <w:t>«Категория обслуживаемого населения» — код и наименование категории обслуживаемого населения.</w:t>
      </w:r>
    </w:p>
    <w:p w14:paraId="57738A88">
      <w:pPr>
        <w:pStyle w:val="69"/>
      </w:pPr>
      <w:r>
        <w:t xml:space="preserve">Сведения о планируемых показателях отображаются в столбцах с расчетными планируемыми показателями. При наведении указателя на пиктограмму </w:t>
      </w:r>
      <w:r>
        <w:drawing>
          <wp:inline distT="0" distB="0" distL="0" distR="0">
            <wp:extent cx="209550" cy="219075"/>
            <wp:effectExtent l="19050" t="19050" r="19050" b="28575"/>
            <wp:docPr id="9582105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210568" name="Рисунок 1"/>
                    <pic:cNvPicPr>
                      <a:picLocks noChangeAspect="1"/>
                    </pic:cNvPicPr>
                  </pic:nvPicPr>
                  <pic:blipFill>
                    <a:blip r:embed="rId183"/>
                    <a:stretch>
                      <a:fillRect/>
                    </a:stretch>
                  </pic:blipFill>
                  <pic:spPr>
                    <a:xfrm>
                      <a:off x="0" y="0"/>
                      <a:ext cx="209579" cy="219106"/>
                    </a:xfrm>
                    <a:prstGeom prst="rect">
                      <a:avLst/>
                    </a:prstGeom>
                    <a:ln w="3175" cmpd="sng">
                      <a:solidFill>
                        <a:srgbClr val="000000"/>
                      </a:solidFill>
                    </a:ln>
                  </pic:spPr>
                </pic:pic>
              </a:graphicData>
            </a:graphic>
          </wp:inline>
        </w:drawing>
      </w:r>
      <w:r>
        <w:t xml:space="preserve"> «Информация» в столбцах с наименованием показателя в табличной части или панели настройки отображения столбцов отображаются правила формирования значения показателя или подсказка с пояснением. Пример приведен на рисунках </w:t>
      </w:r>
      <w:r>
        <w:fldChar w:fldCharType="begin"/>
      </w:r>
      <w:r>
        <w:instrText xml:space="preserve"> REF  _Ref205989448 \h \t\#\0   \* MERGEFORMAT </w:instrText>
      </w:r>
      <w:r>
        <w:fldChar w:fldCharType="separate"/>
      </w:r>
      <w:r>
        <w:t>166</w:t>
      </w:r>
      <w:r>
        <w:fldChar w:fldCharType="end"/>
      </w:r>
      <w:r>
        <w:rPr>
          <w:lang w:val="en-US"/>
        </w:rPr>
        <w:t xml:space="preserve"> </w:t>
      </w:r>
      <w:r>
        <w:t xml:space="preserve">и </w:t>
      </w:r>
      <w:r>
        <w:fldChar w:fldCharType="begin"/>
      </w:r>
      <w:r>
        <w:instrText xml:space="preserve"> REF  _Ref205562955 \h\#\0   \* MERGEFORMAT </w:instrText>
      </w:r>
      <w:r>
        <w:fldChar w:fldCharType="separate"/>
      </w:r>
      <w:r>
        <w:t>167</w:t>
      </w:r>
      <w:r>
        <w:fldChar w:fldCharType="end"/>
      </w:r>
      <w:r>
        <w:t>.</w:t>
      </w:r>
    </w:p>
    <w:p w14:paraId="0696686A">
      <w:pPr>
        <w:pStyle w:val="73"/>
      </w:pPr>
      <w:r>
        <w:drawing>
          <wp:inline distT="0" distB="0" distL="0" distR="0">
            <wp:extent cx="4679950" cy="2138045"/>
            <wp:effectExtent l="19050" t="19050" r="25400" b="14605"/>
            <wp:docPr id="17986005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600522" name="Рисунок 1"/>
                    <pic:cNvPicPr>
                      <a:picLocks noChangeAspect="1"/>
                    </pic:cNvPicPr>
                  </pic:nvPicPr>
                  <pic:blipFill>
                    <a:blip r:embed="rId197"/>
                    <a:stretch>
                      <a:fillRect/>
                    </a:stretch>
                  </pic:blipFill>
                  <pic:spPr>
                    <a:xfrm>
                      <a:off x="0" y="0"/>
                      <a:ext cx="4680000" cy="2138277"/>
                    </a:xfrm>
                    <a:prstGeom prst="rect">
                      <a:avLst/>
                    </a:prstGeom>
                    <a:ln w="3175" cmpd="sng">
                      <a:solidFill>
                        <a:srgbClr val="000000"/>
                      </a:solidFill>
                    </a:ln>
                  </pic:spPr>
                </pic:pic>
              </a:graphicData>
            </a:graphic>
          </wp:inline>
        </w:drawing>
      </w:r>
    </w:p>
    <w:p w14:paraId="5330584A">
      <w:pPr>
        <w:pStyle w:val="74"/>
      </w:pPr>
      <w:bookmarkStart w:id="2736" w:name="_Ref205989448"/>
      <w:r>
        <w:t xml:space="preserve">Рисунок </w:t>
      </w:r>
      <w:r>
        <w:fldChar w:fldCharType="begin"/>
      </w:r>
      <w:r>
        <w:instrText xml:space="preserve"> SEQ Рисунок \* ARABIC </w:instrText>
      </w:r>
      <w:r>
        <w:fldChar w:fldCharType="separate"/>
      </w:r>
      <w:r>
        <w:t>166</w:t>
      </w:r>
      <w:r>
        <w:fldChar w:fldCharType="end"/>
      </w:r>
      <w:bookmarkEnd w:id="2736"/>
    </w:p>
    <w:p w14:paraId="00B7E80D">
      <w:pPr>
        <w:pStyle w:val="73"/>
      </w:pPr>
      <w:r>
        <w:drawing>
          <wp:inline distT="0" distB="0" distL="0" distR="0">
            <wp:extent cx="3239770" cy="886460"/>
            <wp:effectExtent l="19050" t="19050" r="17780" b="27940"/>
            <wp:docPr id="107519617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196178" name="Рисунок 1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3240000" cy="886608"/>
                    </a:xfrm>
                    <a:prstGeom prst="rect">
                      <a:avLst/>
                    </a:prstGeom>
                    <a:noFill/>
                    <a:ln w="3175" cmpd="sng">
                      <a:solidFill>
                        <a:srgbClr val="000000"/>
                      </a:solidFill>
                    </a:ln>
                  </pic:spPr>
                </pic:pic>
              </a:graphicData>
            </a:graphic>
          </wp:inline>
        </w:drawing>
      </w:r>
    </w:p>
    <w:p w14:paraId="2A4DF40B">
      <w:pPr>
        <w:pStyle w:val="74"/>
      </w:pPr>
      <w:bookmarkStart w:id="2737" w:name="_Ref205562955"/>
      <w:r>
        <w:t xml:space="preserve">Рисунок </w:t>
      </w:r>
      <w:r>
        <w:fldChar w:fldCharType="begin"/>
      </w:r>
      <w:r>
        <w:instrText xml:space="preserve"> SEQ Рисунок \* ARABIC </w:instrText>
      </w:r>
      <w:r>
        <w:fldChar w:fldCharType="separate"/>
      </w:r>
      <w:r>
        <w:t>167</w:t>
      </w:r>
      <w:r>
        <w:fldChar w:fldCharType="end"/>
      </w:r>
      <w:bookmarkEnd w:id="2737"/>
    </w:p>
    <w:p w14:paraId="0B98221E">
      <w:pPr>
        <w:pStyle w:val="69"/>
      </w:pPr>
      <w:r>
        <w:t>Для просмотра сведений в разрезе СП и отделений МО и профиля коек указать в панели фильтрации параметры отбора в полях:</w:t>
      </w:r>
    </w:p>
    <w:p w14:paraId="666188E3">
      <w:pPr>
        <w:pStyle w:val="76"/>
      </w:pPr>
      <w:r>
        <w:t>«Структурное подразделение»;</w:t>
      </w:r>
    </w:p>
    <w:p w14:paraId="46CD668F">
      <w:pPr>
        <w:pStyle w:val="76"/>
      </w:pPr>
      <w:r>
        <w:t>«Отделение»;</w:t>
      </w:r>
    </w:p>
    <w:p w14:paraId="50E4684B">
      <w:pPr>
        <w:pStyle w:val="76"/>
      </w:pPr>
      <w:r>
        <w:t>«Профиль».</w:t>
      </w:r>
    </w:p>
    <w:p w14:paraId="6581F81C">
      <w:pPr>
        <w:pStyle w:val="69"/>
      </w:pPr>
      <w:r>
        <w:t>После нажатия «Найти» в рабочей области отобразятся данные планируемых показателей свободных мест с учетом заданных параметров отбора.</w:t>
      </w:r>
    </w:p>
    <w:p w14:paraId="46183578">
      <w:pPr>
        <w:pStyle w:val="69"/>
      </w:pPr>
      <w:r>
        <w:t xml:space="preserve">Для отображения сведений о заявленных койках в ОМС выбрать в панели «Фильтр» в блоке «Параметры отбора» режим «В ОМС», установив флаг в поле переключателя (рис. </w:t>
      </w:r>
      <w:r>
        <w:fldChar w:fldCharType="begin"/>
      </w:r>
      <w:r>
        <w:instrText xml:space="preserve"> REF  _Ref205989472 \h \t\#\0   \* MERGEFORMAT </w:instrText>
      </w:r>
      <w:r>
        <w:fldChar w:fldCharType="separate"/>
      </w:r>
      <w:r>
        <w:t>168</w:t>
      </w:r>
      <w:r>
        <w:fldChar w:fldCharType="end"/>
      </w:r>
      <w:r>
        <w:t>).</w:t>
      </w:r>
    </w:p>
    <w:p w14:paraId="29C81AA1">
      <w:pPr>
        <w:pStyle w:val="73"/>
      </w:pPr>
      <w:r>
        <w:drawing>
          <wp:inline distT="0" distB="0" distL="0" distR="0">
            <wp:extent cx="2159635" cy="4154170"/>
            <wp:effectExtent l="19050" t="19050" r="12065" b="17780"/>
            <wp:docPr id="15222523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252329" name="Рисунок 1"/>
                    <pic:cNvPicPr>
                      <a:picLocks noChangeAspect="1"/>
                    </pic:cNvPicPr>
                  </pic:nvPicPr>
                  <pic:blipFill>
                    <a:blip r:embed="rId199"/>
                    <a:stretch>
                      <a:fillRect/>
                    </a:stretch>
                  </pic:blipFill>
                  <pic:spPr>
                    <a:xfrm>
                      <a:off x="0" y="0"/>
                      <a:ext cx="2160000" cy="4154482"/>
                    </a:xfrm>
                    <a:prstGeom prst="rect">
                      <a:avLst/>
                    </a:prstGeom>
                    <a:ln w="3175" cmpd="sng">
                      <a:solidFill>
                        <a:srgbClr val="000000"/>
                      </a:solidFill>
                    </a:ln>
                  </pic:spPr>
                </pic:pic>
              </a:graphicData>
            </a:graphic>
          </wp:inline>
        </w:drawing>
      </w:r>
    </w:p>
    <w:p w14:paraId="7CB26AC0">
      <w:pPr>
        <w:pStyle w:val="74"/>
      </w:pPr>
      <w:bookmarkStart w:id="2738" w:name="_Ref205989472"/>
      <w:r>
        <w:t xml:space="preserve">Рисунок </w:t>
      </w:r>
      <w:r>
        <w:fldChar w:fldCharType="begin"/>
      </w:r>
      <w:r>
        <w:instrText xml:space="preserve"> SEQ Рисунок \* ARABIC </w:instrText>
      </w:r>
      <w:r>
        <w:fldChar w:fldCharType="separate"/>
      </w:r>
      <w:r>
        <w:t>168</w:t>
      </w:r>
      <w:r>
        <w:fldChar w:fldCharType="end"/>
      </w:r>
      <w:bookmarkEnd w:id="2738"/>
      <w:r>
        <w:t xml:space="preserve"> — Панель «Фильтр». Режим отображения данных «В ОМС»</w:t>
      </w:r>
    </w:p>
    <w:p w14:paraId="63B646E7">
      <w:pPr>
        <w:pStyle w:val="69"/>
      </w:pPr>
      <w:r>
        <w:t>В режиме «В ОМС» блок «Параметры отбора» панели «Фильтр» содержит дополнительное поле «ТПГ и ПГГ». Выбор доступен после заполнения обязательного поля «МО». Остальные поля фильтрации аналогичны параметрам отбора режима «Всего». Поля для выбора параметров:</w:t>
      </w:r>
    </w:p>
    <w:p w14:paraId="1E4744DB">
      <w:pPr>
        <w:pStyle w:val="76"/>
      </w:pPr>
      <w:r>
        <w:t xml:space="preserve">«ТПГГ и ПГГ» — код МО в системе ОМС согласно справочнику </w:t>
      </w:r>
      <w:r>
        <w:rPr>
          <w:lang w:val="en-US"/>
        </w:rPr>
        <w:t>F</w:t>
      </w:r>
      <w:r>
        <w:t>032;</w:t>
      </w:r>
    </w:p>
    <w:p w14:paraId="2F294A6B">
      <w:pPr>
        <w:pStyle w:val="76"/>
      </w:pPr>
      <w:r>
        <w:t>«МО» — медицинская организация, данные по которой требуется получить;</w:t>
      </w:r>
    </w:p>
    <w:p w14:paraId="5E18C1F0">
      <w:pPr>
        <w:pStyle w:val="76"/>
      </w:pPr>
      <w:r>
        <w:t>«Структурное подразделение» — структурное подразделение МО по данным ФРМО;</w:t>
      </w:r>
    </w:p>
    <w:p w14:paraId="76D4F092">
      <w:pPr>
        <w:pStyle w:val="76"/>
      </w:pPr>
      <w:r>
        <w:t>«Отделение»;</w:t>
      </w:r>
    </w:p>
    <w:p w14:paraId="621E0FD1">
      <w:pPr>
        <w:pStyle w:val="76"/>
      </w:pPr>
      <w:r>
        <w:t>«Профиль».</w:t>
      </w:r>
    </w:p>
    <w:p w14:paraId="3651ABA7">
      <w:pPr>
        <w:pStyle w:val="69"/>
      </w:pPr>
      <w:r>
        <w:t>Задать параметры отбора и нажать кнопку «Найти» для просмотра расчетных показателей в ОМС.</w:t>
      </w:r>
    </w:p>
    <w:p w14:paraId="763300A1">
      <w:pPr>
        <w:pStyle w:val="60"/>
      </w:pPr>
      <w:bookmarkStart w:id="2739" w:name="_Toc205903011"/>
      <w:bookmarkStart w:id="2740" w:name="_Toc225866371"/>
      <w:bookmarkStart w:id="2741" w:name="_Ref205565495"/>
      <w:bookmarkStart w:id="2742" w:name="_Ref205565325"/>
      <w:r>
        <w:t>Просмотр данных коечного фонда в графическом виде</w:t>
      </w:r>
      <w:bookmarkEnd w:id="2739"/>
      <w:bookmarkEnd w:id="2740"/>
      <w:bookmarkEnd w:id="2741"/>
      <w:bookmarkEnd w:id="2742"/>
    </w:p>
    <w:p w14:paraId="1DAC0DF6">
      <w:pPr>
        <w:pStyle w:val="69"/>
      </w:pPr>
      <w:r>
        <w:t>Просмотр данных о доступности и обороте коечного фонда в графическом виде осуществляется в подразделе «Визуальная форма (посуточно)».</w:t>
      </w:r>
    </w:p>
    <w:p w14:paraId="6CA05860">
      <w:pPr>
        <w:pStyle w:val="69"/>
      </w:pPr>
      <w:r>
        <w:t>В графической форме можно просмотреть сведения о доступности и обороте коечного фонда по следующим показателям:</w:t>
      </w:r>
    </w:p>
    <w:p w14:paraId="5E6B5C0D">
      <w:pPr>
        <w:pStyle w:val="76"/>
      </w:pPr>
      <w:r>
        <w:t>количество заявленных и занятых коек в разрезе профилей коек;</w:t>
      </w:r>
    </w:p>
    <w:p w14:paraId="57B73E41">
      <w:pPr>
        <w:pStyle w:val="76"/>
      </w:pPr>
      <w:r>
        <w:t>общее количество занятых коек (общая утилизация коечного фонда);</w:t>
      </w:r>
    </w:p>
    <w:p w14:paraId="2BDC3428">
      <w:pPr>
        <w:pStyle w:val="76"/>
      </w:pPr>
      <w:r>
        <w:t>количество поступивших и выбывших пациентов в разрезе профилей коек;</w:t>
      </w:r>
    </w:p>
    <w:p w14:paraId="39C9B5A1">
      <w:pPr>
        <w:pStyle w:val="76"/>
      </w:pPr>
      <w:r>
        <w:t>общее количество поступивших и выбывших пациентов;</w:t>
      </w:r>
    </w:p>
    <w:p w14:paraId="0A49A5D4">
      <w:pPr>
        <w:pStyle w:val="76"/>
      </w:pPr>
      <w:r>
        <w:t>общее количество поступивших и выбывших пациентов нарастающим итогом.</w:t>
      </w:r>
    </w:p>
    <w:p w14:paraId="466B5C4E">
      <w:pPr>
        <w:pStyle w:val="69"/>
      </w:pPr>
      <w:r>
        <w:t>Для перехода в подраздел выбрать вкладку «Визуальная форма (посуточно)».</w:t>
      </w:r>
    </w:p>
    <w:p w14:paraId="1FC0EF35">
      <w:pPr>
        <w:pStyle w:val="69"/>
      </w:pPr>
      <w:r>
        <w:t xml:space="preserve">Рабочая область подраздела «Визуальная форма (посуточно)» содержит две информационных панели для отображения данных в графическом виде (рис. </w:t>
      </w:r>
      <w:r>
        <w:fldChar w:fldCharType="begin"/>
      </w:r>
      <w:r>
        <w:instrText xml:space="preserve"> REF  _Ref205989505 \h \t\#\0   \* MERGEFORMAT </w:instrText>
      </w:r>
      <w:r>
        <w:fldChar w:fldCharType="separate"/>
      </w:r>
      <w:r>
        <w:t>169</w:t>
      </w:r>
      <w:r>
        <w:fldChar w:fldCharType="end"/>
      </w:r>
      <w:r>
        <w:t>):</w:t>
      </w:r>
    </w:p>
    <w:p w14:paraId="47A59A0C">
      <w:pPr>
        <w:pStyle w:val="75"/>
        <w:numPr>
          <w:ilvl w:val="0"/>
          <w:numId w:val="28"/>
        </w:numPr>
      </w:pPr>
      <w:r>
        <w:t>«Занятость коечного фонда» — верхняя панель;</w:t>
      </w:r>
    </w:p>
    <w:p w14:paraId="37139760">
      <w:pPr>
        <w:pStyle w:val="75"/>
        <w:tabs>
          <w:tab w:val="clear" w:pos="0"/>
        </w:tabs>
      </w:pPr>
      <w:r>
        <w:t>«Поступившие, выбывшие нарастающим итогом» — нижняя панель.</w:t>
      </w:r>
    </w:p>
    <w:p w14:paraId="05A30FA0">
      <w:pPr>
        <w:pStyle w:val="73"/>
      </w:pPr>
      <w:r>
        <w:drawing>
          <wp:inline distT="0" distB="0" distL="0" distR="0">
            <wp:extent cx="6120765" cy="3902075"/>
            <wp:effectExtent l="19050" t="19050" r="13335" b="22225"/>
            <wp:docPr id="104641195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411957" name="Рисунок 1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a:xfrm>
                      <a:off x="0" y="0"/>
                      <a:ext cx="6120765" cy="3902075"/>
                    </a:xfrm>
                    <a:prstGeom prst="rect">
                      <a:avLst/>
                    </a:prstGeom>
                    <a:noFill/>
                    <a:ln w="3175" cmpd="sng">
                      <a:solidFill>
                        <a:srgbClr val="000000"/>
                      </a:solidFill>
                    </a:ln>
                  </pic:spPr>
                </pic:pic>
              </a:graphicData>
            </a:graphic>
          </wp:inline>
        </w:drawing>
      </w:r>
    </w:p>
    <w:p w14:paraId="5B9B271E">
      <w:pPr>
        <w:pStyle w:val="74"/>
      </w:pPr>
      <w:bookmarkStart w:id="2743" w:name="_Ref205989505"/>
      <w:r>
        <w:t xml:space="preserve">Рисунок </w:t>
      </w:r>
      <w:r>
        <w:fldChar w:fldCharType="begin"/>
      </w:r>
      <w:r>
        <w:instrText xml:space="preserve"> SEQ Рисунок \* ARABIC </w:instrText>
      </w:r>
      <w:r>
        <w:fldChar w:fldCharType="separate"/>
      </w:r>
      <w:r>
        <w:t>169</w:t>
      </w:r>
      <w:r>
        <w:fldChar w:fldCharType="end"/>
      </w:r>
      <w:bookmarkEnd w:id="2743"/>
      <w:r>
        <w:t xml:space="preserve"> — Раздел «Организационно-штатная структура». Активная вкладка «Коечный фонд». Подраздел «Визуальная форма (посуточно)»</w:t>
      </w:r>
    </w:p>
    <w:p w14:paraId="6A389A5D">
      <w:pPr>
        <w:pStyle w:val="69"/>
      </w:pPr>
      <w:r>
        <w:t xml:space="preserve">Для получения данных для отображения необходимо задать параметры отбора данных в блоке «Фильтр» (рис. </w:t>
      </w:r>
      <w:r>
        <w:fldChar w:fldCharType="begin"/>
      </w:r>
      <w:r>
        <w:instrText xml:space="preserve"> REF  _Ref205989539 \h \t\#\0   \* MERGEFORMAT </w:instrText>
      </w:r>
      <w:r>
        <w:fldChar w:fldCharType="separate"/>
      </w:r>
      <w:r>
        <w:t>170</w:t>
      </w:r>
      <w:r>
        <w:fldChar w:fldCharType="end"/>
      </w:r>
      <w:r>
        <w:t>).</w:t>
      </w:r>
    </w:p>
    <w:p w14:paraId="1886D447">
      <w:pPr>
        <w:pStyle w:val="69"/>
      </w:pPr>
      <w:r>
        <w:t>Блок «Фильтр» содержит переключатели:</w:t>
      </w:r>
    </w:p>
    <w:p w14:paraId="078A7041">
      <w:pPr>
        <w:pStyle w:val="76"/>
      </w:pPr>
      <w:r>
        <w:t>выбора режима отбора данных для отображения:</w:t>
      </w:r>
    </w:p>
    <w:p w14:paraId="65011386">
      <w:pPr>
        <w:pStyle w:val="78"/>
        <w:numPr>
          <w:ilvl w:val="0"/>
          <w:numId w:val="9"/>
        </w:numPr>
      </w:pPr>
      <w:r>
        <w:t>«По орг. структуре» — данные группируются в разрезе профилей коек для выбранной структурной единицы медицинской организации (описание см. в </w:t>
      </w:r>
      <w:r>
        <w:fldChar w:fldCharType="begin"/>
      </w:r>
      <w:r>
        <w:instrText xml:space="preserve"> REF _Ref205989569 \n \h </w:instrText>
      </w:r>
      <w:r>
        <w:fldChar w:fldCharType="separate"/>
      </w:r>
      <w:r>
        <w:t>4.10.5.1</w:t>
      </w:r>
      <w:r>
        <w:fldChar w:fldCharType="end"/>
      </w:r>
      <w:r>
        <w:t>);</w:t>
      </w:r>
    </w:p>
    <w:p w14:paraId="7556F86F">
      <w:pPr>
        <w:pStyle w:val="78"/>
        <w:numPr>
          <w:ilvl w:val="0"/>
          <w:numId w:val="9"/>
        </w:numPr>
      </w:pPr>
      <w:r>
        <w:t xml:space="preserve">«По профилю» — данные группируются в разрезе структурных единиц медицинской организации для конкретного профиля коек (описание см. в </w:t>
      </w:r>
      <w:r>
        <w:fldChar w:fldCharType="begin"/>
      </w:r>
      <w:r>
        <w:instrText xml:space="preserve"> REF _Ref205989576 \n \h </w:instrText>
      </w:r>
      <w:r>
        <w:fldChar w:fldCharType="separate"/>
      </w:r>
      <w:r>
        <w:t>4.10.5.2</w:t>
      </w:r>
      <w:r>
        <w:fldChar w:fldCharType="end"/>
      </w:r>
      <w:r>
        <w:t>);</w:t>
      </w:r>
    </w:p>
    <w:p w14:paraId="2485A4B9">
      <w:pPr>
        <w:pStyle w:val="76"/>
      </w:pPr>
      <w:r>
        <w:t>выбора отображения данных:</w:t>
      </w:r>
    </w:p>
    <w:p w14:paraId="360D2459">
      <w:pPr>
        <w:pStyle w:val="78"/>
        <w:numPr>
          <w:ilvl w:val="0"/>
          <w:numId w:val="9"/>
        </w:numPr>
      </w:pPr>
      <w:r>
        <w:t>«Всего» — отображение заявленных коек;</w:t>
      </w:r>
    </w:p>
    <w:p w14:paraId="31384DB0">
      <w:pPr>
        <w:pStyle w:val="78"/>
        <w:numPr>
          <w:ilvl w:val="0"/>
          <w:numId w:val="9"/>
        </w:numPr>
      </w:pPr>
      <w:r>
        <w:t>«В ОМС» — отображение заявленных коек только в ОМС.</w:t>
      </w:r>
    </w:p>
    <w:p w14:paraId="58092D3B">
      <w:pPr>
        <w:pStyle w:val="73"/>
      </w:pPr>
      <w:r>
        <w:drawing>
          <wp:inline distT="0" distB="0" distL="0" distR="0">
            <wp:extent cx="2159635" cy="4184650"/>
            <wp:effectExtent l="19050" t="19050" r="12065" b="25400"/>
            <wp:docPr id="2593513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51357" name="Рисунок 1"/>
                    <pic:cNvPicPr>
                      <a:picLocks noChangeAspect="1"/>
                    </pic:cNvPicPr>
                  </pic:nvPicPr>
                  <pic:blipFill>
                    <a:blip r:embed="rId201"/>
                    <a:stretch>
                      <a:fillRect/>
                    </a:stretch>
                  </pic:blipFill>
                  <pic:spPr>
                    <a:xfrm>
                      <a:off x="0" y="0"/>
                      <a:ext cx="2160000" cy="4185000"/>
                    </a:xfrm>
                    <a:prstGeom prst="rect">
                      <a:avLst/>
                    </a:prstGeom>
                    <a:ln w="3175" cmpd="sng">
                      <a:solidFill>
                        <a:srgbClr val="000000"/>
                      </a:solidFill>
                    </a:ln>
                  </pic:spPr>
                </pic:pic>
              </a:graphicData>
            </a:graphic>
          </wp:inline>
        </w:drawing>
      </w:r>
    </w:p>
    <w:p w14:paraId="73191788">
      <w:pPr>
        <w:pStyle w:val="74"/>
      </w:pPr>
      <w:bookmarkStart w:id="2744" w:name="_Ref205989539"/>
      <w:r>
        <w:t xml:space="preserve">Рисунок </w:t>
      </w:r>
      <w:r>
        <w:fldChar w:fldCharType="begin"/>
      </w:r>
      <w:r>
        <w:instrText xml:space="preserve"> SEQ Рисунок \* ARABIC </w:instrText>
      </w:r>
      <w:r>
        <w:fldChar w:fldCharType="separate"/>
      </w:r>
      <w:r>
        <w:t>170</w:t>
      </w:r>
      <w:r>
        <w:fldChar w:fldCharType="end"/>
      </w:r>
      <w:bookmarkEnd w:id="2744"/>
      <w:r>
        <w:t xml:space="preserve"> — Блок «Параметры обора». Режим отбора данных «По орг. структуре» «Всего»</w:t>
      </w:r>
    </w:p>
    <w:p w14:paraId="24A8BA36">
      <w:pPr>
        <w:pStyle w:val="61"/>
      </w:pPr>
      <w:bookmarkStart w:id="2745" w:name="_Ref205989569"/>
      <w:r>
        <w:t>Просмотр данных коечного фонда по организационной структуре</w:t>
      </w:r>
      <w:bookmarkEnd w:id="2745"/>
    </w:p>
    <w:p w14:paraId="77FC828E">
      <w:pPr>
        <w:pStyle w:val="69"/>
      </w:pPr>
      <w:r>
        <w:t>Режим «По орг. структуре» предназначен для просмотра данных по всем профилям коек всех отделений выбранной МО в разрезе условий оказания медицинской помощи.</w:t>
      </w:r>
    </w:p>
    <w:p w14:paraId="2D2972BB">
      <w:pPr>
        <w:pStyle w:val="69"/>
      </w:pPr>
      <w:r>
        <w:t xml:space="preserve">В режиме «По орг. структуре» «Всего» блок «Фильтр» содержит следующие параметры отбора (рис. </w:t>
      </w:r>
      <w:r>
        <w:fldChar w:fldCharType="begin"/>
      </w:r>
      <w:r>
        <w:instrText xml:space="preserve"> REF  _Ref205989539 \h \t\#\0   \* MERGEFORMAT </w:instrText>
      </w:r>
      <w:r>
        <w:fldChar w:fldCharType="separate"/>
      </w:r>
      <w:r>
        <w:t>170</w:t>
      </w:r>
      <w:r>
        <w:fldChar w:fldCharType="end"/>
      </w:r>
      <w:r>
        <w:t>):</w:t>
      </w:r>
    </w:p>
    <w:p w14:paraId="22B03232">
      <w:pPr>
        <w:pStyle w:val="76"/>
      </w:pPr>
      <w:r>
        <w:t>«МО» — обязательный параметр. ОИД медицинской организации, данные по которой требуется получить;</w:t>
      </w:r>
    </w:p>
    <w:p w14:paraId="5C826F92">
      <w:pPr>
        <w:pStyle w:val="76"/>
      </w:pPr>
      <w:r>
        <w:t>«Структурное подразделение» — структурное подразделение МО по данным ФРМО;</w:t>
      </w:r>
    </w:p>
    <w:p w14:paraId="12FF11DA">
      <w:pPr>
        <w:pStyle w:val="76"/>
      </w:pPr>
      <w:r>
        <w:t>«Отделение» — отделение МО по данным ФРМО;</w:t>
      </w:r>
    </w:p>
    <w:p w14:paraId="5E5C9B8E">
      <w:pPr>
        <w:pStyle w:val="76"/>
      </w:pPr>
      <w:r>
        <w:t>«Профиль» — профиль койки</w:t>
      </w:r>
      <w:r>
        <w:rPr>
          <w:lang w:val="en-US"/>
        </w:rPr>
        <w:t>;</w:t>
      </w:r>
    </w:p>
    <w:p w14:paraId="21C87BBE">
      <w:pPr>
        <w:pStyle w:val="76"/>
      </w:pPr>
      <w:r>
        <w:t>«Дата (с)» — обязательный параметр. Учитываются сведения с 09:00 истекших суток до 09:00 даты поиска;</w:t>
      </w:r>
    </w:p>
    <w:p w14:paraId="233FE3BE">
      <w:pPr>
        <w:pStyle w:val="76"/>
      </w:pPr>
      <w:r>
        <w:t>«Дата (по)» — обязательный параметр. Учитываются сведения с 09:00 истекших суток до 09:00 даты поиска.</w:t>
      </w:r>
    </w:p>
    <w:p w14:paraId="6510C0F2">
      <w:pPr>
        <w:pStyle w:val="69"/>
      </w:pPr>
      <w:r>
        <w:t xml:space="preserve">В режиме «По орг. структуре» «В ОМС» (рис. </w:t>
      </w:r>
      <w:r>
        <w:fldChar w:fldCharType="begin"/>
      </w:r>
      <w:r>
        <w:instrText xml:space="preserve"> REF  _Ref205989644 \h \t\#\0   \* MERGEFORMAT </w:instrText>
      </w:r>
      <w:r>
        <w:fldChar w:fldCharType="separate"/>
      </w:r>
      <w:r>
        <w:t>171</w:t>
      </w:r>
      <w:r>
        <w:fldChar w:fldCharType="end"/>
      </w:r>
      <w:r>
        <w:t>) отображаются плановые показатели, относящиеся к договорам в системе ОМС. Блок «Фильтр» содержит дополнительное поле «ТПГГ и ПГГ» — код МО в системе ОМС согласно справочнику F032. Выбор значения в справочнике ОМС доступен после заполнения обязательного поля «МО». Остальные поля аналогичны параметрам отбора режима «Всего».</w:t>
      </w:r>
    </w:p>
    <w:p w14:paraId="4EC6E459">
      <w:pPr>
        <w:pStyle w:val="73"/>
      </w:pPr>
      <w:r>
        <w:drawing>
          <wp:inline distT="0" distB="0" distL="0" distR="0">
            <wp:extent cx="2159635" cy="4209415"/>
            <wp:effectExtent l="19050" t="19050" r="12065" b="19685"/>
            <wp:docPr id="18615765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76566" name="Рисунок 1"/>
                    <pic:cNvPicPr>
                      <a:picLocks noChangeAspect="1"/>
                    </pic:cNvPicPr>
                  </pic:nvPicPr>
                  <pic:blipFill>
                    <a:blip r:embed="rId202"/>
                    <a:stretch>
                      <a:fillRect/>
                    </a:stretch>
                  </pic:blipFill>
                  <pic:spPr>
                    <a:xfrm>
                      <a:off x="0" y="0"/>
                      <a:ext cx="2160000" cy="4209448"/>
                    </a:xfrm>
                    <a:prstGeom prst="rect">
                      <a:avLst/>
                    </a:prstGeom>
                    <a:ln w="3175" cmpd="sng">
                      <a:solidFill>
                        <a:srgbClr val="000000"/>
                      </a:solidFill>
                    </a:ln>
                  </pic:spPr>
                </pic:pic>
              </a:graphicData>
            </a:graphic>
          </wp:inline>
        </w:drawing>
      </w:r>
    </w:p>
    <w:p w14:paraId="3F32FB68">
      <w:pPr>
        <w:pStyle w:val="74"/>
      </w:pPr>
      <w:bookmarkStart w:id="2746" w:name="_Ref205989644"/>
      <w:r>
        <w:t xml:space="preserve">Рисунок </w:t>
      </w:r>
      <w:r>
        <w:fldChar w:fldCharType="begin"/>
      </w:r>
      <w:r>
        <w:instrText xml:space="preserve"> SEQ Рисунок \* ARABIC </w:instrText>
      </w:r>
      <w:r>
        <w:fldChar w:fldCharType="separate"/>
      </w:r>
      <w:r>
        <w:t>171</w:t>
      </w:r>
      <w:r>
        <w:fldChar w:fldCharType="end"/>
      </w:r>
      <w:bookmarkEnd w:id="2746"/>
      <w:r>
        <w:t xml:space="preserve"> — Блок «Фильтр». Режим отбора данных «По орг. структуре» «В ОМС»</w:t>
      </w:r>
    </w:p>
    <w:p w14:paraId="21E38CCA">
      <w:pPr>
        <w:pStyle w:val="69"/>
      </w:pPr>
      <w:r>
        <w:t>После задания необходимых параметров отбора данных, включая обязательные параметры, отмеченные символом «*» звездочка, нажать «Найти».</w:t>
      </w:r>
    </w:p>
    <w:p w14:paraId="319CEA37">
      <w:pPr>
        <w:pStyle w:val="69"/>
      </w:pPr>
      <w:r>
        <w:t xml:space="preserve">В рабочей области на информационных панелях (рис. </w:t>
      </w:r>
      <w:r>
        <w:fldChar w:fldCharType="begin"/>
      </w:r>
      <w:r>
        <w:instrText xml:space="preserve"> REF  _Ref205989668 \h \t\#\0   \* MERGEFORMAT </w:instrText>
      </w:r>
      <w:r>
        <w:fldChar w:fldCharType="separate"/>
      </w:r>
      <w:r>
        <w:t>172</w:t>
      </w:r>
      <w:r>
        <w:fldChar w:fldCharType="end"/>
      </w:r>
      <w:r>
        <w:t>) отобразятся диаграммы с данными, соответствующими заданным критериям отбора.</w:t>
      </w:r>
    </w:p>
    <w:p w14:paraId="6BD208BC">
      <w:pPr>
        <w:pStyle w:val="73"/>
      </w:pPr>
      <w:r>
        <w:drawing>
          <wp:inline distT="0" distB="0" distL="0" distR="0">
            <wp:extent cx="6120765" cy="4822190"/>
            <wp:effectExtent l="19050" t="19050" r="13335" b="16510"/>
            <wp:docPr id="207724988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49881" name="Рисунок 1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6120765" cy="4822190"/>
                    </a:xfrm>
                    <a:prstGeom prst="rect">
                      <a:avLst/>
                    </a:prstGeom>
                    <a:noFill/>
                    <a:ln w="3175" cmpd="sng">
                      <a:solidFill>
                        <a:srgbClr val="000000"/>
                      </a:solidFill>
                    </a:ln>
                  </pic:spPr>
                </pic:pic>
              </a:graphicData>
            </a:graphic>
          </wp:inline>
        </w:drawing>
      </w:r>
    </w:p>
    <w:p w14:paraId="73A5FC72">
      <w:pPr>
        <w:pStyle w:val="74"/>
      </w:pPr>
      <w:bookmarkStart w:id="2747" w:name="_Ref205989668"/>
      <w:r>
        <w:t xml:space="preserve">Рисунок </w:t>
      </w:r>
      <w:r>
        <w:fldChar w:fldCharType="begin"/>
      </w:r>
      <w:r>
        <w:instrText xml:space="preserve"> SEQ Рисунок \* ARABIC </w:instrText>
      </w:r>
      <w:r>
        <w:fldChar w:fldCharType="separate"/>
      </w:r>
      <w:r>
        <w:t>172</w:t>
      </w:r>
      <w:r>
        <w:fldChar w:fldCharType="end"/>
      </w:r>
      <w:bookmarkEnd w:id="2747"/>
      <w:r>
        <w:t xml:space="preserve"> — Коечный фонд. Визуальная форма (посуточно)</w:t>
      </w:r>
    </w:p>
    <w:p w14:paraId="41D28DD6">
      <w:pPr>
        <w:pStyle w:val="69"/>
      </w:pPr>
      <w:r>
        <w:t>Информационная панель «Занятость коечного фонда» содержит диаграмму посуточных данных с показателями:</w:t>
      </w:r>
    </w:p>
    <w:p w14:paraId="45981E4A">
      <w:pPr>
        <w:pStyle w:val="76"/>
      </w:pPr>
      <w:r>
        <w:t>количество заявленных коек в разрезе профилей коек;</w:t>
      </w:r>
    </w:p>
    <w:p w14:paraId="77CEC4A9">
      <w:pPr>
        <w:pStyle w:val="76"/>
      </w:pPr>
      <w:r>
        <w:t>количество занятых коек в разрезе профилей коек;</w:t>
      </w:r>
    </w:p>
    <w:p w14:paraId="525B880C">
      <w:pPr>
        <w:pStyle w:val="76"/>
      </w:pPr>
      <w:r>
        <w:t>общее количество занятых коек — график общей утилизации коечного фонда.</w:t>
      </w:r>
    </w:p>
    <w:p w14:paraId="1C7F098E">
      <w:pPr>
        <w:pStyle w:val="69"/>
      </w:pPr>
      <w:r>
        <w:t>Легенда визуализации расположена под диаграммой в нижней части панели. Легенда содержит цветовую индикацию на диаграмме столбцов представления профилей коек и графика общей утилизации коечного фонда.</w:t>
      </w:r>
    </w:p>
    <w:p w14:paraId="509E5437">
      <w:pPr>
        <w:pStyle w:val="69"/>
      </w:pPr>
      <w:r>
        <w:t xml:space="preserve">Пример панели «Занятость коечного фонда» приведен на рисунке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205886278 \</w:instrText>
      </w:r>
      <w:r>
        <w:rPr>
          <w:lang w:val="en-US"/>
        </w:rPr>
        <w:instrText xml:space="preserve">h</w:instrText>
      </w:r>
      <w:r>
        <w:instrText xml:space="preserve"> \</w:instrText>
      </w:r>
      <w:r>
        <w:rPr>
          <w:lang w:val="en-US"/>
        </w:rPr>
        <w:instrText xml:space="preserve">t</w:instrText>
      </w:r>
      <w:r>
        <w:instrText xml:space="preserve">\#\0   \* </w:instrText>
      </w:r>
      <w:r>
        <w:rPr>
          <w:lang w:val="en-US"/>
        </w:rPr>
        <w:instrText xml:space="preserve">MERGEFORMAT</w:instrText>
      </w:r>
      <w:r>
        <w:instrText xml:space="preserve"> </w:instrText>
      </w:r>
      <w:r>
        <w:rPr>
          <w:lang w:val="en-US"/>
        </w:rPr>
        <w:fldChar w:fldCharType="separate"/>
      </w:r>
      <w:r>
        <w:t>173</w:t>
      </w:r>
      <w:r>
        <w:rPr>
          <w:lang w:val="en-US"/>
        </w:rPr>
        <w:fldChar w:fldCharType="end"/>
      </w:r>
      <w:r>
        <w:t>.</w:t>
      </w:r>
    </w:p>
    <w:p w14:paraId="6511B4B2">
      <w:pPr>
        <w:pStyle w:val="73"/>
      </w:pPr>
      <w:r>
        <w:drawing>
          <wp:inline distT="0" distB="0" distL="0" distR="0">
            <wp:extent cx="6119495" cy="2710180"/>
            <wp:effectExtent l="19050" t="19050" r="14605" b="13970"/>
            <wp:docPr id="1309464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6452" name="Рисунок 1"/>
                    <pic:cNvPicPr>
                      <a:picLocks noChangeAspect="1"/>
                    </pic:cNvPicPr>
                  </pic:nvPicPr>
                  <pic:blipFill>
                    <a:blip r:embed="rId204"/>
                    <a:stretch>
                      <a:fillRect/>
                    </a:stretch>
                  </pic:blipFill>
                  <pic:spPr>
                    <a:xfrm>
                      <a:off x="0" y="0"/>
                      <a:ext cx="6119495" cy="2710180"/>
                    </a:xfrm>
                    <a:prstGeom prst="rect">
                      <a:avLst/>
                    </a:prstGeom>
                    <a:ln w="3175" cmpd="sng">
                      <a:solidFill>
                        <a:srgbClr val="000000"/>
                      </a:solidFill>
                    </a:ln>
                  </pic:spPr>
                </pic:pic>
              </a:graphicData>
            </a:graphic>
          </wp:inline>
        </w:drawing>
      </w:r>
    </w:p>
    <w:p w14:paraId="734DEE06">
      <w:pPr>
        <w:pStyle w:val="74"/>
      </w:pPr>
      <w:bookmarkStart w:id="2748" w:name="_Ref205886278"/>
      <w:r>
        <w:t xml:space="preserve">Рисунок </w:t>
      </w:r>
      <w:r>
        <w:fldChar w:fldCharType="begin"/>
      </w:r>
      <w:r>
        <w:instrText xml:space="preserve"> SEQ Рисунок \* ARABIC </w:instrText>
      </w:r>
      <w:r>
        <w:fldChar w:fldCharType="separate"/>
      </w:r>
      <w:r>
        <w:t>173</w:t>
      </w:r>
      <w:r>
        <w:fldChar w:fldCharType="end"/>
      </w:r>
      <w:bookmarkEnd w:id="2748"/>
      <w:r>
        <w:t xml:space="preserve"> — Визуальная форма (посуточно). Режим отбора данных «По орг. структуре» «Всего». Панель «Занятость коечного фонда»</w:t>
      </w:r>
    </w:p>
    <w:p w14:paraId="0FB14276">
      <w:pPr>
        <w:pStyle w:val="69"/>
      </w:pPr>
      <w:r>
        <w:t>На вертикальной оси отображается утилизация коечного фонда — шкала общего количества коек (Всего) и количества занятых коек (Кол-во коек). На горизонтальной оси отображаются даты заданного временного периода.</w:t>
      </w:r>
    </w:p>
    <w:p w14:paraId="1E4F5A19">
      <w:pPr>
        <w:pStyle w:val="69"/>
      </w:pPr>
      <w:r>
        <w:t xml:space="preserve">При наведении указателя на столбец диаграммы (рис. </w:t>
      </w:r>
      <w:r>
        <w:fldChar w:fldCharType="begin"/>
      </w:r>
      <w:r>
        <w:instrText xml:space="preserve"> REF  _Ref205989693 \h \t\#\0   \* MERGEFORMAT </w:instrText>
      </w:r>
      <w:r>
        <w:fldChar w:fldCharType="separate"/>
      </w:r>
      <w:r>
        <w:t>174</w:t>
      </w:r>
      <w:r>
        <w:fldChar w:fldCharType="end"/>
      </w:r>
      <w:r>
        <w:t>) отображается информация о количестве доступных коек данного профиля на конкретную дату:</w:t>
      </w:r>
    </w:p>
    <w:p w14:paraId="65403185">
      <w:pPr>
        <w:pStyle w:val="76"/>
      </w:pPr>
      <w:r>
        <w:t>дата,</w:t>
      </w:r>
    </w:p>
    <w:p w14:paraId="6AB89D3F">
      <w:pPr>
        <w:pStyle w:val="76"/>
      </w:pPr>
      <w:r>
        <w:t>код и наименование профиля коек и количество заявленных коек на данную дату (всего);</w:t>
      </w:r>
    </w:p>
    <w:p w14:paraId="4775633C">
      <w:pPr>
        <w:pStyle w:val="76"/>
      </w:pPr>
      <w:r>
        <w:t>код и наименование профиля коек и количество занятых коек на данную дату (занято).</w:t>
      </w:r>
    </w:p>
    <w:p w14:paraId="7D6CDD78">
      <w:pPr>
        <w:pStyle w:val="73"/>
      </w:pPr>
      <w:r>
        <w:drawing>
          <wp:inline distT="0" distB="0" distL="0" distR="0">
            <wp:extent cx="3599815" cy="1319530"/>
            <wp:effectExtent l="19050" t="19050" r="19685" b="13970"/>
            <wp:docPr id="21175947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594727" name="Рисунок 1"/>
                    <pic:cNvPicPr>
                      <a:picLocks noChangeAspect="1"/>
                    </pic:cNvPicPr>
                  </pic:nvPicPr>
                  <pic:blipFill>
                    <a:blip r:embed="rId205"/>
                    <a:stretch>
                      <a:fillRect/>
                    </a:stretch>
                  </pic:blipFill>
                  <pic:spPr>
                    <a:xfrm>
                      <a:off x="0" y="0"/>
                      <a:ext cx="3600000" cy="1319549"/>
                    </a:xfrm>
                    <a:prstGeom prst="rect">
                      <a:avLst/>
                    </a:prstGeom>
                    <a:ln w="3175" cmpd="sng">
                      <a:solidFill>
                        <a:srgbClr val="000000"/>
                      </a:solidFill>
                    </a:ln>
                  </pic:spPr>
                </pic:pic>
              </a:graphicData>
            </a:graphic>
          </wp:inline>
        </w:drawing>
      </w:r>
    </w:p>
    <w:p w14:paraId="54793B47">
      <w:pPr>
        <w:pStyle w:val="74"/>
      </w:pPr>
      <w:bookmarkStart w:id="2749" w:name="_Ref205989693"/>
      <w:r>
        <w:t xml:space="preserve">Рисунок </w:t>
      </w:r>
      <w:r>
        <w:fldChar w:fldCharType="begin"/>
      </w:r>
      <w:r>
        <w:instrText xml:space="preserve"> SEQ Рисунок \* ARABIC </w:instrText>
      </w:r>
      <w:r>
        <w:fldChar w:fldCharType="separate"/>
      </w:r>
      <w:r>
        <w:t>174</w:t>
      </w:r>
      <w:r>
        <w:fldChar w:fldCharType="end"/>
      </w:r>
      <w:bookmarkEnd w:id="2749"/>
      <w:r>
        <w:t xml:space="preserve"> — Пример отображения всплывающих сведений о занятости коечного фонда по профилю койки</w:t>
      </w:r>
    </w:p>
    <w:p w14:paraId="49E40835">
      <w:pPr>
        <w:pStyle w:val="69"/>
      </w:pPr>
      <w:r>
        <w:t>На информационной панели «Поступившие, выбывшие нарастающим итогом» (рис.</w:t>
      </w:r>
      <w:r>
        <w:rPr>
          <w:lang w:val="en-US"/>
        </w:rPr>
        <w:t> </w:t>
      </w:r>
      <w:r>
        <w:fldChar w:fldCharType="begin"/>
      </w:r>
      <w:r>
        <w:instrText xml:space="preserve"> REF  _Ref205476860 \h\#\0   \* MERGEFORMAT </w:instrText>
      </w:r>
      <w:r>
        <w:fldChar w:fldCharType="separate"/>
      </w:r>
      <w:r>
        <w:t>175</w:t>
      </w:r>
      <w:r>
        <w:fldChar w:fldCharType="end"/>
      </w:r>
      <w:r>
        <w:t>) в графическом виде представлены посуточные данные по показателям:</w:t>
      </w:r>
    </w:p>
    <w:p w14:paraId="4C1BA4EE">
      <w:pPr>
        <w:pStyle w:val="76"/>
      </w:pPr>
      <w:r>
        <w:t>поступило/выбыло в разрезе профилей коек посуточно;</w:t>
      </w:r>
    </w:p>
    <w:p w14:paraId="5B9329D5">
      <w:pPr>
        <w:pStyle w:val="76"/>
      </w:pPr>
      <w:r>
        <w:t>общее количество поступивших/выбывших посуточно;</w:t>
      </w:r>
    </w:p>
    <w:p w14:paraId="37B8B562">
      <w:pPr>
        <w:pStyle w:val="76"/>
      </w:pPr>
      <w:r>
        <w:t>количество поступивших/выбывших нарастающим итогом.</w:t>
      </w:r>
    </w:p>
    <w:p w14:paraId="441344BF">
      <w:pPr>
        <w:pStyle w:val="73"/>
      </w:pPr>
      <w:r>
        <w:drawing>
          <wp:inline distT="0" distB="0" distL="0" distR="0">
            <wp:extent cx="6120765" cy="2859405"/>
            <wp:effectExtent l="19050" t="19050" r="13335" b="17145"/>
            <wp:docPr id="60181748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17483" name="Рисунок 1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6120765" cy="2859405"/>
                    </a:xfrm>
                    <a:prstGeom prst="rect">
                      <a:avLst/>
                    </a:prstGeom>
                    <a:noFill/>
                    <a:ln w="3175" cmpd="sng">
                      <a:solidFill>
                        <a:srgbClr val="000000"/>
                      </a:solidFill>
                    </a:ln>
                  </pic:spPr>
                </pic:pic>
              </a:graphicData>
            </a:graphic>
          </wp:inline>
        </w:drawing>
      </w:r>
    </w:p>
    <w:p w14:paraId="32412C8D">
      <w:pPr>
        <w:pStyle w:val="74"/>
      </w:pPr>
      <w:bookmarkStart w:id="2750" w:name="_Ref205476860"/>
      <w:r>
        <w:t xml:space="preserve">Рисунок </w:t>
      </w:r>
      <w:r>
        <w:fldChar w:fldCharType="begin"/>
      </w:r>
      <w:r>
        <w:instrText xml:space="preserve"> SEQ Рисунок \* ARABIC </w:instrText>
      </w:r>
      <w:r>
        <w:fldChar w:fldCharType="separate"/>
      </w:r>
      <w:r>
        <w:t>175</w:t>
      </w:r>
      <w:r>
        <w:fldChar w:fldCharType="end"/>
      </w:r>
      <w:bookmarkEnd w:id="2750"/>
      <w:r>
        <w:t xml:space="preserve"> — Графическое представление данных оборота коечного фонда. Панель «Поступившие, выбывшие нарастающим итогом». Режим «По орг. структуре»</w:t>
      </w:r>
    </w:p>
    <w:p w14:paraId="0956FCE9">
      <w:pPr>
        <w:pStyle w:val="69"/>
      </w:pPr>
      <w:r>
        <w:t>Легенда визуализации — профили коек и цветовая индикация столбцов представления профилей коек МО на диаграмме — расположена в нижней части панели.</w:t>
      </w:r>
    </w:p>
    <w:p w14:paraId="69312865">
      <w:pPr>
        <w:pStyle w:val="69"/>
      </w:pPr>
      <w:r>
        <w:t>По вертикали отображается:</w:t>
      </w:r>
    </w:p>
    <w:p w14:paraId="1DE79BE9">
      <w:pPr>
        <w:pStyle w:val="76"/>
      </w:pPr>
      <w:r>
        <w:t>количество поступивших/выбывших нарастающим итогом,</w:t>
      </w:r>
    </w:p>
    <w:p w14:paraId="5954FEBA">
      <w:pPr>
        <w:pStyle w:val="76"/>
      </w:pPr>
      <w:r>
        <w:t>посуточное количество коек по поступившим/выбывшим.</w:t>
      </w:r>
    </w:p>
    <w:p w14:paraId="2CBD118B">
      <w:pPr>
        <w:pStyle w:val="69"/>
      </w:pPr>
      <w:r>
        <w:t>На горизонтальной оси отображаются даты заданного временного периода.</w:t>
      </w:r>
    </w:p>
    <w:p w14:paraId="6C56D184">
      <w:pPr>
        <w:pStyle w:val="69"/>
      </w:pPr>
      <w:r>
        <w:t xml:space="preserve">При наведении указателя на узлы графика (отрезок прямой) отображается дата и соответствующее графику значение поступивших/выбывших нарастающим итогом и общее количество (рис.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205476814 \</w:instrText>
      </w:r>
      <w:r>
        <w:rPr>
          <w:lang w:val="en-US"/>
        </w:rPr>
        <w:instrText xml:space="preserve">h</w:instrText>
      </w:r>
      <w:r>
        <w:instrText xml:space="preserve"> \</w:instrText>
      </w:r>
      <w:r>
        <w:rPr>
          <w:lang w:val="en-US"/>
        </w:rPr>
        <w:instrText xml:space="preserve">t</w:instrText>
      </w:r>
      <w:r>
        <w:instrText xml:space="preserve">\#\0   \* </w:instrText>
      </w:r>
      <w:r>
        <w:rPr>
          <w:lang w:val="en-US"/>
        </w:rPr>
        <w:instrText xml:space="preserve">MERGEFORMAT</w:instrText>
      </w:r>
      <w:r>
        <w:instrText xml:space="preserve"> </w:instrText>
      </w:r>
      <w:r>
        <w:rPr>
          <w:lang w:val="en-US"/>
        </w:rPr>
        <w:fldChar w:fldCharType="separate"/>
      </w:r>
      <w:r>
        <w:t>176</w:t>
      </w:r>
      <w:r>
        <w:rPr>
          <w:lang w:val="en-US"/>
        </w:rPr>
        <w:fldChar w:fldCharType="end"/>
      </w:r>
      <w:r>
        <w:t xml:space="preserve">, </w:t>
      </w:r>
      <w:r>
        <w:fldChar w:fldCharType="begin"/>
      </w:r>
      <w:r>
        <w:instrText xml:space="preserve"> REF  _Ref205542658 \h \t\#\0   \* MERGEFORMAT </w:instrText>
      </w:r>
      <w:r>
        <w:fldChar w:fldCharType="separate"/>
      </w:r>
      <w:r>
        <w:t>177</w:t>
      </w:r>
      <w:r>
        <w:fldChar w:fldCharType="end"/>
      </w:r>
      <w:r>
        <w:t>).</w:t>
      </w:r>
    </w:p>
    <w:p w14:paraId="59B0B4DB">
      <w:pPr>
        <w:pStyle w:val="69"/>
      </w:pPr>
      <w:r>
        <w:t xml:space="preserve">При наведении указателя на столбец диаграммы (профиль) отображается подсказка с детальным описанием параметров (рис. </w:t>
      </w:r>
      <w:r>
        <w:fldChar w:fldCharType="begin"/>
      </w:r>
      <w:r>
        <w:instrText xml:space="preserve"> REF  _Ref205886366 \h \t\#\0   \* MERGEFORMAT </w:instrText>
      </w:r>
      <w:r>
        <w:fldChar w:fldCharType="separate"/>
      </w:r>
      <w:r>
        <w:t>178</w:t>
      </w:r>
      <w:r>
        <w:fldChar w:fldCharType="end"/>
      </w:r>
      <w:r>
        <w:t>).</w:t>
      </w:r>
    </w:p>
    <w:p w14:paraId="6B1711CB">
      <w:pPr>
        <w:pStyle w:val="73"/>
      </w:pPr>
      <w:r>
        <w:drawing>
          <wp:inline distT="0" distB="0" distL="0" distR="0">
            <wp:extent cx="4679950" cy="1440815"/>
            <wp:effectExtent l="19050" t="19050" r="25400" b="26035"/>
            <wp:docPr id="8037168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716825" name="Рисунок 1"/>
                    <pic:cNvPicPr>
                      <a:picLocks noChangeAspect="1"/>
                    </pic:cNvPicPr>
                  </pic:nvPicPr>
                  <pic:blipFill>
                    <a:blip r:embed="rId207"/>
                    <a:stretch>
                      <a:fillRect/>
                    </a:stretch>
                  </pic:blipFill>
                  <pic:spPr>
                    <a:xfrm>
                      <a:off x="0" y="0"/>
                      <a:ext cx="4680000" cy="1440860"/>
                    </a:xfrm>
                    <a:prstGeom prst="rect">
                      <a:avLst/>
                    </a:prstGeom>
                    <a:ln w="3175" cmpd="sng">
                      <a:solidFill>
                        <a:srgbClr val="000000"/>
                      </a:solidFill>
                    </a:ln>
                  </pic:spPr>
                </pic:pic>
              </a:graphicData>
            </a:graphic>
          </wp:inline>
        </w:drawing>
      </w:r>
    </w:p>
    <w:p w14:paraId="6F128996">
      <w:pPr>
        <w:pStyle w:val="74"/>
      </w:pPr>
      <w:bookmarkStart w:id="2751" w:name="_Ref205476814"/>
      <w:r>
        <w:t xml:space="preserve">Рисунок </w:t>
      </w:r>
      <w:r>
        <w:fldChar w:fldCharType="begin"/>
      </w:r>
      <w:r>
        <w:instrText xml:space="preserve"> SEQ Рисунок \* ARABIC </w:instrText>
      </w:r>
      <w:r>
        <w:fldChar w:fldCharType="separate"/>
      </w:r>
      <w:r>
        <w:t>176</w:t>
      </w:r>
      <w:r>
        <w:fldChar w:fldCharType="end"/>
      </w:r>
      <w:bookmarkEnd w:id="2751"/>
      <w:r>
        <w:t xml:space="preserve"> — График поступивших</w:t>
      </w:r>
    </w:p>
    <w:p w14:paraId="35352E9D">
      <w:pPr>
        <w:pStyle w:val="73"/>
      </w:pPr>
      <w:r>
        <w:drawing>
          <wp:inline distT="0" distB="0" distL="0" distR="0">
            <wp:extent cx="3959860" cy="1313180"/>
            <wp:effectExtent l="19050" t="19050" r="21590" b="20320"/>
            <wp:docPr id="8505075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507560" name="Рисунок 1"/>
                    <pic:cNvPicPr>
                      <a:picLocks noChangeAspect="1"/>
                    </pic:cNvPicPr>
                  </pic:nvPicPr>
                  <pic:blipFill>
                    <a:blip r:embed="rId208"/>
                    <a:stretch>
                      <a:fillRect/>
                    </a:stretch>
                  </pic:blipFill>
                  <pic:spPr>
                    <a:xfrm>
                      <a:off x="0" y="0"/>
                      <a:ext cx="3960000" cy="1313774"/>
                    </a:xfrm>
                    <a:prstGeom prst="rect">
                      <a:avLst/>
                    </a:prstGeom>
                    <a:ln w="3175" cmpd="sng">
                      <a:solidFill>
                        <a:srgbClr val="000000"/>
                      </a:solidFill>
                    </a:ln>
                  </pic:spPr>
                </pic:pic>
              </a:graphicData>
            </a:graphic>
          </wp:inline>
        </w:drawing>
      </w:r>
    </w:p>
    <w:p w14:paraId="5449FEE5">
      <w:pPr>
        <w:pStyle w:val="74"/>
        <w:rPr>
          <w:lang w:val="en-US"/>
        </w:rPr>
      </w:pPr>
      <w:bookmarkStart w:id="2752" w:name="_Ref205542658"/>
      <w:r>
        <w:t xml:space="preserve">Рисунок </w:t>
      </w:r>
      <w:r>
        <w:fldChar w:fldCharType="begin"/>
      </w:r>
      <w:r>
        <w:instrText xml:space="preserve"> SEQ Рисунок \* ARABIC </w:instrText>
      </w:r>
      <w:r>
        <w:fldChar w:fldCharType="separate"/>
      </w:r>
      <w:r>
        <w:t>177</w:t>
      </w:r>
      <w:r>
        <w:fldChar w:fldCharType="end"/>
      </w:r>
      <w:bookmarkEnd w:id="2752"/>
      <w:r>
        <w:t xml:space="preserve"> — График выбывших</w:t>
      </w:r>
    </w:p>
    <w:p w14:paraId="35C48A6F">
      <w:pPr>
        <w:pStyle w:val="73"/>
      </w:pPr>
      <w:r>
        <w:drawing>
          <wp:inline distT="0" distB="0" distL="0" distR="0">
            <wp:extent cx="3657600" cy="1943100"/>
            <wp:effectExtent l="19050" t="19050" r="19050" b="19050"/>
            <wp:docPr id="18747824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782443" name="Рисунок 1"/>
                    <pic:cNvPicPr>
                      <a:picLocks noChangeAspect="1"/>
                    </pic:cNvPicPr>
                  </pic:nvPicPr>
                  <pic:blipFill>
                    <a:blip r:embed="rId209"/>
                    <a:stretch>
                      <a:fillRect/>
                    </a:stretch>
                  </pic:blipFill>
                  <pic:spPr>
                    <a:xfrm>
                      <a:off x="0" y="0"/>
                      <a:ext cx="3658111" cy="1943371"/>
                    </a:xfrm>
                    <a:prstGeom prst="rect">
                      <a:avLst/>
                    </a:prstGeom>
                    <a:ln w="3175" cmpd="sng">
                      <a:solidFill>
                        <a:srgbClr val="000000"/>
                      </a:solidFill>
                    </a:ln>
                  </pic:spPr>
                </pic:pic>
              </a:graphicData>
            </a:graphic>
          </wp:inline>
        </w:drawing>
      </w:r>
    </w:p>
    <w:p w14:paraId="4FFF85BC">
      <w:pPr>
        <w:pStyle w:val="74"/>
      </w:pPr>
      <w:bookmarkStart w:id="2753" w:name="_Ref205886366"/>
      <w:r>
        <w:t xml:space="preserve">Рисунок </w:t>
      </w:r>
      <w:r>
        <w:fldChar w:fldCharType="begin"/>
      </w:r>
      <w:r>
        <w:instrText xml:space="preserve"> SEQ Рисунок \* ARABIC </w:instrText>
      </w:r>
      <w:r>
        <w:fldChar w:fldCharType="separate"/>
      </w:r>
      <w:r>
        <w:t>178</w:t>
      </w:r>
      <w:r>
        <w:fldChar w:fldCharType="end"/>
      </w:r>
      <w:bookmarkEnd w:id="2753"/>
      <w:r>
        <w:t xml:space="preserve"> — Профиль койки</w:t>
      </w:r>
    </w:p>
    <w:p w14:paraId="18BA6D18">
      <w:pPr>
        <w:pStyle w:val="69"/>
      </w:pPr>
      <w:r>
        <w:t>В правой верхней части обеих панелей расположены управляющие элементы «Все» и «Неделя».</w:t>
      </w:r>
    </w:p>
    <w:p w14:paraId="42F7E57F">
      <w:pPr>
        <w:pStyle w:val="69"/>
      </w:pPr>
      <w:r>
        <w:t>Доступен выбор режима отображения на диаграмме заданного временного периода:</w:t>
      </w:r>
    </w:p>
    <w:p w14:paraId="3B2C0052">
      <w:pPr>
        <w:pStyle w:val="76"/>
      </w:pPr>
      <w:r>
        <w:drawing>
          <wp:inline distT="0" distB="0" distL="0" distR="0">
            <wp:extent cx="359410" cy="236855"/>
            <wp:effectExtent l="19050" t="19050" r="21590" b="10795"/>
            <wp:docPr id="13944734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73402" name="Рисунок 1"/>
                    <pic:cNvPicPr>
                      <a:picLocks noChangeAspect="1"/>
                    </pic:cNvPicPr>
                  </pic:nvPicPr>
                  <pic:blipFill>
                    <a:blip r:embed="rId210"/>
                    <a:stretch>
                      <a:fillRect/>
                    </a:stretch>
                  </pic:blipFill>
                  <pic:spPr>
                    <a:xfrm>
                      <a:off x="0" y="0"/>
                      <a:ext cx="360000" cy="237446"/>
                    </a:xfrm>
                    <a:prstGeom prst="rect">
                      <a:avLst/>
                    </a:prstGeom>
                    <a:ln w="3175" cmpd="sng">
                      <a:solidFill>
                        <a:srgbClr val="000000"/>
                      </a:solidFill>
                    </a:ln>
                  </pic:spPr>
                </pic:pic>
              </a:graphicData>
            </a:graphic>
          </wp:inline>
        </w:drawing>
      </w:r>
      <w:r>
        <w:t xml:space="preserve"> «Все» — все данные за указанный период;</w:t>
      </w:r>
    </w:p>
    <w:p w14:paraId="221512B2">
      <w:pPr>
        <w:pStyle w:val="76"/>
      </w:pPr>
      <w:r>
        <w:drawing>
          <wp:inline distT="0" distB="0" distL="0" distR="0">
            <wp:extent cx="539750" cy="220345"/>
            <wp:effectExtent l="19050" t="19050" r="12700" b="27305"/>
            <wp:docPr id="16757432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743210" name="Рисунок 1"/>
                    <pic:cNvPicPr>
                      <a:picLocks noChangeAspect="1"/>
                    </pic:cNvPicPr>
                  </pic:nvPicPr>
                  <pic:blipFill>
                    <a:blip r:embed="rId211"/>
                    <a:stretch>
                      <a:fillRect/>
                    </a:stretch>
                  </pic:blipFill>
                  <pic:spPr>
                    <a:xfrm>
                      <a:off x="0" y="0"/>
                      <a:ext cx="540000" cy="220565"/>
                    </a:xfrm>
                    <a:prstGeom prst="rect">
                      <a:avLst/>
                    </a:prstGeom>
                    <a:ln w="3175" cmpd="sng">
                      <a:solidFill>
                        <a:srgbClr val="000000"/>
                      </a:solidFill>
                    </a:ln>
                  </pic:spPr>
                </pic:pic>
              </a:graphicData>
            </a:graphic>
          </wp:inline>
        </w:drawing>
      </w:r>
      <w:r>
        <w:t xml:space="preserve"> — по семь дней, начиная с даты начала периода.</w:t>
      </w:r>
    </w:p>
    <w:p w14:paraId="1D7B0664">
      <w:pPr>
        <w:pStyle w:val="69"/>
      </w:pPr>
      <w:r>
        <w:t xml:space="preserve">По умолчанию активна кнопка </w:t>
      </w:r>
      <w:r>
        <w:drawing>
          <wp:inline distT="0" distB="0" distL="0" distR="0">
            <wp:extent cx="359410" cy="236855"/>
            <wp:effectExtent l="19050" t="19050" r="21590" b="10795"/>
            <wp:docPr id="9555060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506035" name="Рисунок 1"/>
                    <pic:cNvPicPr>
                      <a:picLocks noChangeAspect="1"/>
                    </pic:cNvPicPr>
                  </pic:nvPicPr>
                  <pic:blipFill>
                    <a:blip r:embed="rId210"/>
                    <a:stretch>
                      <a:fillRect/>
                    </a:stretch>
                  </pic:blipFill>
                  <pic:spPr>
                    <a:xfrm>
                      <a:off x="0" y="0"/>
                      <a:ext cx="360000" cy="237446"/>
                    </a:xfrm>
                    <a:prstGeom prst="rect">
                      <a:avLst/>
                    </a:prstGeom>
                    <a:ln w="3175" cmpd="sng">
                      <a:solidFill>
                        <a:srgbClr val="000000"/>
                      </a:solidFill>
                    </a:ln>
                  </pic:spPr>
                </pic:pic>
              </a:graphicData>
            </a:graphic>
          </wp:inline>
        </w:drawing>
      </w:r>
      <w:r>
        <w:t xml:space="preserve"> «Все» — отображаются сведения за все дни заданного периода.</w:t>
      </w:r>
    </w:p>
    <w:p w14:paraId="13B0E7FF">
      <w:pPr>
        <w:pStyle w:val="69"/>
      </w:pPr>
      <w:r>
        <w:t xml:space="preserve">В случае, если заданный период превышает неделю, перейти в режим «Неделя», нажав кнопку </w:t>
      </w:r>
      <w:r>
        <w:drawing>
          <wp:inline distT="0" distB="0" distL="0" distR="0">
            <wp:extent cx="575945" cy="234950"/>
            <wp:effectExtent l="19050" t="19050" r="14605" b="12700"/>
            <wp:docPr id="8859004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900483" name="Рисунок 1"/>
                    <pic:cNvPicPr>
                      <a:picLocks noChangeAspect="1"/>
                    </pic:cNvPicPr>
                  </pic:nvPicPr>
                  <pic:blipFill>
                    <a:blip r:embed="rId211"/>
                    <a:stretch>
                      <a:fillRect/>
                    </a:stretch>
                  </pic:blipFill>
                  <pic:spPr>
                    <a:xfrm>
                      <a:off x="0" y="0"/>
                      <a:ext cx="576000" cy="235269"/>
                    </a:xfrm>
                    <a:prstGeom prst="rect">
                      <a:avLst/>
                    </a:prstGeom>
                    <a:ln w="3175" cmpd="sng">
                      <a:solidFill>
                        <a:srgbClr val="000000"/>
                      </a:solidFill>
                    </a:ln>
                  </pic:spPr>
                </pic:pic>
              </a:graphicData>
            </a:graphic>
          </wp:inline>
        </w:drawing>
      </w:r>
      <w:r>
        <w:t xml:space="preserve"> «Неделя».</w:t>
      </w:r>
    </w:p>
    <w:p w14:paraId="04C0E7EC">
      <w:pPr>
        <w:pStyle w:val="69"/>
      </w:pPr>
      <w:r>
        <w:t xml:space="preserve">Также для просмотра показателей всех дней заданного периода в режиме «Все» можно воспользоваться полосой прокрутки под диаграммой (рис. </w:t>
      </w:r>
      <w:r>
        <w:fldChar w:fldCharType="begin"/>
      </w:r>
      <w:r>
        <w:instrText xml:space="preserve"> REF  _Ref205989718 \h \t\#\0   \* MERGEFORMAT </w:instrText>
      </w:r>
      <w:r>
        <w:fldChar w:fldCharType="separate"/>
      </w:r>
      <w:r>
        <w:t>179</w:t>
      </w:r>
      <w:r>
        <w:fldChar w:fldCharType="end"/>
      </w:r>
      <w:r>
        <w:t>).</w:t>
      </w:r>
    </w:p>
    <w:p w14:paraId="778E0ABE">
      <w:pPr>
        <w:pStyle w:val="73"/>
      </w:pPr>
      <w:r>
        <w:drawing>
          <wp:inline distT="0" distB="0" distL="0" distR="0">
            <wp:extent cx="6120765" cy="3743325"/>
            <wp:effectExtent l="19050" t="19050" r="13335" b="28575"/>
            <wp:docPr id="148874293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742938" name="Рисунок 1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6120765" cy="3743325"/>
                    </a:xfrm>
                    <a:prstGeom prst="rect">
                      <a:avLst/>
                    </a:prstGeom>
                    <a:noFill/>
                    <a:ln w="3175" cmpd="sng">
                      <a:solidFill>
                        <a:srgbClr val="000000"/>
                      </a:solidFill>
                    </a:ln>
                  </pic:spPr>
                </pic:pic>
              </a:graphicData>
            </a:graphic>
          </wp:inline>
        </w:drawing>
      </w:r>
    </w:p>
    <w:p w14:paraId="1F3F1C34">
      <w:pPr>
        <w:pStyle w:val="74"/>
      </w:pPr>
      <w:bookmarkStart w:id="2754" w:name="_Ref205989718"/>
      <w:r>
        <w:t xml:space="preserve">Рисунок </w:t>
      </w:r>
      <w:r>
        <w:fldChar w:fldCharType="begin"/>
      </w:r>
      <w:r>
        <w:instrText xml:space="preserve"> SEQ Рисунок \* ARABIC </w:instrText>
      </w:r>
      <w:r>
        <w:fldChar w:fldCharType="separate"/>
      </w:r>
      <w:r>
        <w:t>179</w:t>
      </w:r>
      <w:r>
        <w:fldChar w:fldCharType="end"/>
      </w:r>
      <w:bookmarkEnd w:id="2754"/>
      <w:r>
        <w:t xml:space="preserve"> — Визуальная форма (посуточно). Режим отбора данных «По орг. структуре» «Всего». Панель «Занятость коечного фонда». Отображение периода «Неделя»</w:t>
      </w:r>
    </w:p>
    <w:p w14:paraId="5329B00F">
      <w:pPr>
        <w:pStyle w:val="69"/>
      </w:pPr>
      <w:r>
        <w:t>Для отображения сведений о коечном фонде по договорам ОМС выбрать в панели «Фильтр» в блоке «Параметры отбора» режим «В ОМС» и нажать кнопку «Найти».</w:t>
      </w:r>
    </w:p>
    <w:p w14:paraId="01541FFF">
      <w:pPr>
        <w:pStyle w:val="61"/>
      </w:pPr>
      <w:bookmarkStart w:id="2755" w:name="_Ref205989576"/>
      <w:r>
        <w:t>Просмотр данных коечного фонда по профилю</w:t>
      </w:r>
      <w:bookmarkEnd w:id="2755"/>
    </w:p>
    <w:p w14:paraId="135C265F">
      <w:pPr>
        <w:pStyle w:val="69"/>
      </w:pPr>
      <w:r>
        <w:t>Режим «По профилю» предназначен для просмотра информации об утилизации (занятости) коечного фонда конкретного профиля в разрезе структурных подразделений/отделений.</w:t>
      </w:r>
    </w:p>
    <w:p w14:paraId="5138CED9">
      <w:pPr>
        <w:pStyle w:val="69"/>
      </w:pPr>
      <w:r>
        <w:t>Для перехода в режим установить переключатель «По профилю». (рис. </w:t>
      </w:r>
      <w:r>
        <w:fldChar w:fldCharType="begin"/>
      </w:r>
      <w:r>
        <w:instrText xml:space="preserve"> REF  _Ref205476839 \h\#\0   \* MERGEFORMAT </w:instrText>
      </w:r>
      <w:r>
        <w:fldChar w:fldCharType="separate"/>
      </w:r>
      <w:r>
        <w:t>180</w:t>
      </w:r>
      <w:r>
        <w:fldChar w:fldCharType="end"/>
      </w:r>
      <w:r>
        <w:t>).</w:t>
      </w:r>
    </w:p>
    <w:p w14:paraId="0B6432FD">
      <w:pPr>
        <w:pStyle w:val="73"/>
      </w:pPr>
      <w:r>
        <w:drawing>
          <wp:inline distT="0" distB="0" distL="0" distR="0">
            <wp:extent cx="1979930" cy="2598420"/>
            <wp:effectExtent l="19050" t="19050" r="20320" b="11430"/>
            <wp:docPr id="467084501" name="Рисунок 46708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084501" name="Рисунок 467084501"/>
                    <pic:cNvPicPr>
                      <a:picLocks noChangeAspect="1"/>
                    </pic:cNvPicPr>
                  </pic:nvPicPr>
                  <pic:blipFill>
                    <a:blip r:embed="rId213"/>
                    <a:stretch>
                      <a:fillRect/>
                    </a:stretch>
                  </pic:blipFill>
                  <pic:spPr>
                    <a:xfrm>
                      <a:off x="0" y="0"/>
                      <a:ext cx="1980000" cy="2598750"/>
                    </a:xfrm>
                    <a:prstGeom prst="rect">
                      <a:avLst/>
                    </a:prstGeom>
                    <a:ln w="3175" cmpd="sng">
                      <a:solidFill>
                        <a:srgbClr val="000000"/>
                      </a:solidFill>
                    </a:ln>
                  </pic:spPr>
                </pic:pic>
              </a:graphicData>
            </a:graphic>
          </wp:inline>
        </w:drawing>
      </w:r>
    </w:p>
    <w:p w14:paraId="1E04CF1B">
      <w:pPr>
        <w:pStyle w:val="74"/>
      </w:pPr>
      <w:bookmarkStart w:id="2756" w:name="_Ref205476839"/>
      <w:r>
        <w:t xml:space="preserve">Рисунок </w:t>
      </w:r>
      <w:r>
        <w:fldChar w:fldCharType="begin"/>
      </w:r>
      <w:r>
        <w:instrText xml:space="preserve"> SEQ Рисунок \* ARABIC </w:instrText>
      </w:r>
      <w:r>
        <w:fldChar w:fldCharType="separate"/>
      </w:r>
      <w:r>
        <w:t>180</w:t>
      </w:r>
      <w:r>
        <w:fldChar w:fldCharType="end"/>
      </w:r>
      <w:bookmarkEnd w:id="2756"/>
      <w:r>
        <w:t xml:space="preserve"> — Панель «Фильтр». Отображение «Всего» в режиме отбора данных «По профилю»</w:t>
      </w:r>
    </w:p>
    <w:p w14:paraId="398A0551">
      <w:pPr>
        <w:pStyle w:val="69"/>
      </w:pPr>
      <w:r>
        <w:t>Блок «Параметры отбора» в режиме «Всего» содержит следующие параметры отбора:</w:t>
      </w:r>
    </w:p>
    <w:p w14:paraId="7EFACB57">
      <w:pPr>
        <w:pStyle w:val="76"/>
      </w:pPr>
      <w:r>
        <w:t>«Профиль» — профиль койки;</w:t>
      </w:r>
    </w:p>
    <w:p w14:paraId="7657BD6A">
      <w:pPr>
        <w:pStyle w:val="76"/>
      </w:pPr>
      <w:r>
        <w:t>«Код субъекта МО» — код субъекта согласно справочнику F010;</w:t>
      </w:r>
    </w:p>
    <w:p w14:paraId="1F0A929B">
      <w:pPr>
        <w:pStyle w:val="76"/>
      </w:pPr>
      <w:r>
        <w:t>«МО» — медицинская организация, данные по которой требуется получить;</w:t>
      </w:r>
    </w:p>
    <w:p w14:paraId="73A70AF7">
      <w:pPr>
        <w:pStyle w:val="76"/>
      </w:pPr>
      <w:r>
        <w:t>«Структурное подразделение — структурное подразделение МО по данным ФРМО;</w:t>
      </w:r>
    </w:p>
    <w:p w14:paraId="6A5C8A95">
      <w:pPr>
        <w:pStyle w:val="76"/>
      </w:pPr>
      <w:r>
        <w:t>диапазон дат, по которому требуется произвести фильтрацию:</w:t>
      </w:r>
    </w:p>
    <w:p w14:paraId="7B3D62D9">
      <w:pPr>
        <w:pStyle w:val="78"/>
        <w:numPr>
          <w:ilvl w:val="0"/>
          <w:numId w:val="9"/>
        </w:numPr>
      </w:pPr>
      <w:r>
        <w:t>«Дата (с)» — обязательный параметр. Учитываются сведения с 09:00 истекших суток до 09:00 даты поиска;</w:t>
      </w:r>
    </w:p>
    <w:p w14:paraId="7D060E2C">
      <w:pPr>
        <w:pStyle w:val="78"/>
        <w:numPr>
          <w:ilvl w:val="0"/>
          <w:numId w:val="9"/>
        </w:numPr>
      </w:pPr>
      <w:r>
        <w:t>«Дата (по)» — обязательный параметр. Учитываются сведения с 09:00 истекших суток до 09:00 даты поиска.</w:t>
      </w:r>
    </w:p>
    <w:p w14:paraId="6C5AAB30">
      <w:pPr>
        <w:pStyle w:val="69"/>
      </w:pPr>
      <w:r>
        <w:t>В режиме «По профилю» «В ОМС» блок «Фильтр» содержит дополнительный параметр отбора «ТПГ и ПГГ» (рис. </w:t>
      </w:r>
      <w:r>
        <w:fldChar w:fldCharType="begin"/>
      </w:r>
      <w:r>
        <w:instrText xml:space="preserve"> REF  _Ref205989745 \h \t\#\0   \* MERGEFORMAT </w:instrText>
      </w:r>
      <w:r>
        <w:fldChar w:fldCharType="separate"/>
      </w:r>
      <w:r>
        <w:t>181</w:t>
      </w:r>
      <w:r>
        <w:fldChar w:fldCharType="end"/>
      </w:r>
      <w:r>
        <w:t>).</w:t>
      </w:r>
    </w:p>
    <w:p w14:paraId="6D663E5B">
      <w:pPr>
        <w:pStyle w:val="73"/>
      </w:pPr>
      <w:r>
        <w:drawing>
          <wp:inline distT="0" distB="0" distL="0" distR="0">
            <wp:extent cx="2505710" cy="4523740"/>
            <wp:effectExtent l="19050" t="19050" r="27940" b="10160"/>
            <wp:docPr id="137558196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581966" name="Рисунок 1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a:xfrm>
                      <a:off x="0" y="0"/>
                      <a:ext cx="2505710" cy="4523740"/>
                    </a:xfrm>
                    <a:prstGeom prst="rect">
                      <a:avLst/>
                    </a:prstGeom>
                    <a:noFill/>
                    <a:ln w="3175" cmpd="sng">
                      <a:solidFill>
                        <a:srgbClr val="000000"/>
                      </a:solidFill>
                    </a:ln>
                  </pic:spPr>
                </pic:pic>
              </a:graphicData>
            </a:graphic>
          </wp:inline>
        </w:drawing>
      </w:r>
    </w:p>
    <w:p w14:paraId="067314E2">
      <w:pPr>
        <w:pStyle w:val="74"/>
      </w:pPr>
      <w:bookmarkStart w:id="2757" w:name="_Ref205989745"/>
      <w:r>
        <w:t xml:space="preserve">Рисунок </w:t>
      </w:r>
      <w:r>
        <w:fldChar w:fldCharType="begin"/>
      </w:r>
      <w:r>
        <w:instrText xml:space="preserve"> SEQ Рисунок \* ARABIC </w:instrText>
      </w:r>
      <w:r>
        <w:fldChar w:fldCharType="separate"/>
      </w:r>
      <w:r>
        <w:t>181</w:t>
      </w:r>
      <w:r>
        <w:fldChar w:fldCharType="end"/>
      </w:r>
      <w:bookmarkEnd w:id="2757"/>
      <w:r>
        <w:t xml:space="preserve"> — Блок «Фильтр». Режим отбора данных «По профилю» «В ОМС»</w:t>
      </w:r>
    </w:p>
    <w:p w14:paraId="07F4E444">
      <w:pPr>
        <w:pStyle w:val="69"/>
      </w:pPr>
      <w:r>
        <w:t>Задать значения в обязательных полях, отмеченных символом «*», указав профиль, МО и период и нажать кнопку «Найти».</w:t>
      </w:r>
    </w:p>
    <w:p w14:paraId="58E5C717">
      <w:pPr>
        <w:pStyle w:val="69"/>
      </w:pPr>
      <w:r>
        <w:t>В рабочей области на визуальной форме посуточно отобразятся данные занятости коечного фонда по профилю согласно заданным критериям в разрезе структурных подразделений/отделений.</w:t>
      </w:r>
    </w:p>
    <w:p w14:paraId="021394A7">
      <w:pPr>
        <w:pStyle w:val="73"/>
      </w:pPr>
      <w:r>
        <w:drawing>
          <wp:inline distT="0" distB="0" distL="0" distR="0">
            <wp:extent cx="6120765" cy="3639820"/>
            <wp:effectExtent l="19050" t="19050" r="13335" b="17780"/>
            <wp:docPr id="44748012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80120" name="Рисунок 1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6120765" cy="3639820"/>
                    </a:xfrm>
                    <a:prstGeom prst="rect">
                      <a:avLst/>
                    </a:prstGeom>
                    <a:noFill/>
                    <a:ln w="3175" cmpd="sng">
                      <a:solidFill>
                        <a:srgbClr val="000000"/>
                      </a:solidFill>
                    </a:ln>
                  </pic:spPr>
                </pic:pic>
              </a:graphicData>
            </a:graphic>
          </wp:inline>
        </w:drawing>
      </w:r>
    </w:p>
    <w:p w14:paraId="443A6F3C">
      <w:pPr>
        <w:pStyle w:val="74"/>
      </w:pPr>
      <w:r>
        <w:t xml:space="preserve">Рисунок </w:t>
      </w:r>
      <w:r>
        <w:fldChar w:fldCharType="begin"/>
      </w:r>
      <w:r>
        <w:instrText xml:space="preserve"> SEQ Рисунок \* ARABIC </w:instrText>
      </w:r>
      <w:r>
        <w:fldChar w:fldCharType="separate"/>
      </w:r>
      <w:r>
        <w:t>182</w:t>
      </w:r>
      <w:r>
        <w:fldChar w:fldCharType="end"/>
      </w:r>
      <w:r>
        <w:t xml:space="preserve"> — Визуальная форма (посуточно). Отбор данных «По профилю» в режиме «Всего»</w:t>
      </w:r>
    </w:p>
    <w:p w14:paraId="10CA1CDB">
      <w:pPr>
        <w:pStyle w:val="69"/>
      </w:pPr>
      <w:r>
        <w:t>В верхней части отображается информационная панель «Занятость коечного фонда» с посуточным графиком общей утилизации (занятости) коечного фонда:</w:t>
      </w:r>
    </w:p>
    <w:p w14:paraId="34C1AFB0">
      <w:pPr>
        <w:pStyle w:val="76"/>
      </w:pPr>
      <w:r>
        <w:t>по вертикали — количество коек и общая утилизация коечного фонда;</w:t>
      </w:r>
    </w:p>
    <w:p w14:paraId="057DBA46">
      <w:pPr>
        <w:pStyle w:val="76"/>
      </w:pPr>
      <w:r>
        <w:t>по горизонтали — даты заданного периода.</w:t>
      </w:r>
    </w:p>
    <w:p w14:paraId="435FBFE9">
      <w:pPr>
        <w:pStyle w:val="73"/>
      </w:pPr>
      <w:r>
        <w:drawing>
          <wp:inline distT="0" distB="0" distL="0" distR="0">
            <wp:extent cx="6120765" cy="2316480"/>
            <wp:effectExtent l="19050" t="19050" r="13335" b="26670"/>
            <wp:docPr id="190079192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791925" name="Рисунок 1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6120765" cy="2316480"/>
                    </a:xfrm>
                    <a:prstGeom prst="rect">
                      <a:avLst/>
                    </a:prstGeom>
                    <a:noFill/>
                    <a:ln w="3175" cmpd="sng">
                      <a:solidFill>
                        <a:srgbClr val="000000"/>
                      </a:solidFill>
                    </a:ln>
                  </pic:spPr>
                </pic:pic>
              </a:graphicData>
            </a:graphic>
          </wp:inline>
        </w:drawing>
      </w:r>
    </w:p>
    <w:p w14:paraId="4B521520">
      <w:pPr>
        <w:pStyle w:val="74"/>
      </w:pPr>
      <w:r>
        <w:t xml:space="preserve">Рисунок </w:t>
      </w:r>
      <w:r>
        <w:fldChar w:fldCharType="begin"/>
      </w:r>
      <w:r>
        <w:instrText xml:space="preserve"> SEQ Рисунок \* ARABIC </w:instrText>
      </w:r>
      <w:r>
        <w:fldChar w:fldCharType="separate"/>
      </w:r>
      <w:r>
        <w:t>183</w:t>
      </w:r>
      <w:r>
        <w:fldChar w:fldCharType="end"/>
      </w:r>
      <w:r>
        <w:t xml:space="preserve"> — Визуальная форма (посуточно). Отбор данных «По профилю» в режиме «Всего». Занятость коечного фонда</w:t>
      </w:r>
    </w:p>
    <w:p w14:paraId="27015168">
      <w:pPr>
        <w:pStyle w:val="69"/>
      </w:pPr>
      <w:r>
        <w:t xml:space="preserve">При наведении указателя на график (отрезок прямой) или столбец (рис. </w:t>
      </w:r>
      <w:r>
        <w:fldChar w:fldCharType="begin"/>
      </w:r>
      <w:r>
        <w:instrText xml:space="preserve"> REF  _Ref205550224 \h\#\0   \* MERGEFORMAT </w:instrText>
      </w:r>
      <w:r>
        <w:fldChar w:fldCharType="separate"/>
      </w:r>
      <w:r>
        <w:t>184</w:t>
      </w:r>
      <w:r>
        <w:fldChar w:fldCharType="end"/>
      </w:r>
      <w:r>
        <w:t>) отображается подсказка:</w:t>
      </w:r>
    </w:p>
    <w:p w14:paraId="789CC205">
      <w:pPr>
        <w:pStyle w:val="76"/>
      </w:pPr>
      <w:r>
        <w:t>дата;</w:t>
      </w:r>
    </w:p>
    <w:p w14:paraId="30CC1F58">
      <w:pPr>
        <w:pStyle w:val="76"/>
      </w:pPr>
      <w:r>
        <w:t>код, наименование структурного подразделения и количество (всего) коек подразделения;</w:t>
      </w:r>
    </w:p>
    <w:p w14:paraId="21DB519B">
      <w:pPr>
        <w:pStyle w:val="76"/>
      </w:pPr>
      <w:r>
        <w:t>код, наименование структурного подразделения и количество (занято) коек подразделения.</w:t>
      </w:r>
    </w:p>
    <w:p w14:paraId="75D66A97">
      <w:pPr>
        <w:pStyle w:val="73"/>
      </w:pPr>
      <w:r>
        <w:drawing>
          <wp:inline distT="0" distB="0" distL="0" distR="0">
            <wp:extent cx="5039995" cy="2218055"/>
            <wp:effectExtent l="19050" t="19050" r="27305" b="10795"/>
            <wp:docPr id="138413717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137177" name="Рисунок 1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5040000" cy="2218531"/>
                    </a:xfrm>
                    <a:prstGeom prst="rect">
                      <a:avLst/>
                    </a:prstGeom>
                    <a:noFill/>
                    <a:ln w="3175" cmpd="sng">
                      <a:solidFill>
                        <a:srgbClr val="000000"/>
                      </a:solidFill>
                    </a:ln>
                  </pic:spPr>
                </pic:pic>
              </a:graphicData>
            </a:graphic>
          </wp:inline>
        </w:drawing>
      </w:r>
    </w:p>
    <w:p w14:paraId="3DC42767">
      <w:pPr>
        <w:pStyle w:val="74"/>
      </w:pPr>
      <w:bookmarkStart w:id="2758" w:name="_Ref205550224"/>
      <w:r>
        <w:t xml:space="preserve">Рисунок </w:t>
      </w:r>
      <w:r>
        <w:fldChar w:fldCharType="begin"/>
      </w:r>
      <w:r>
        <w:instrText xml:space="preserve"> SEQ Рисунок \* ARABIC </w:instrText>
      </w:r>
      <w:r>
        <w:fldChar w:fldCharType="separate"/>
      </w:r>
      <w:r>
        <w:t>184</w:t>
      </w:r>
      <w:r>
        <w:fldChar w:fldCharType="end"/>
      </w:r>
      <w:bookmarkEnd w:id="2758"/>
      <w:r>
        <w:t xml:space="preserve"> — Визуальная форма (посуточно). Отбор данных «По профилю» в режиме «Всего». Всплывающая подсказка</w:t>
      </w:r>
    </w:p>
    <w:p w14:paraId="292880B2">
      <w:pPr>
        <w:pStyle w:val="69"/>
      </w:pPr>
      <w:r>
        <w:t>В нижней части отображается информационная панель «Поступившие, выбывшие нарастающим итогом» с парциальными посуточными данными, поступивших и выбывших в разрезе структурных подразделений/отделений, и графиками:</w:t>
      </w:r>
    </w:p>
    <w:p w14:paraId="11DE042F">
      <w:pPr>
        <w:pStyle w:val="76"/>
      </w:pPr>
      <w:r>
        <w:t>поступивших (всего);</w:t>
      </w:r>
    </w:p>
    <w:p w14:paraId="0D53388C">
      <w:pPr>
        <w:pStyle w:val="76"/>
      </w:pPr>
      <w:r>
        <w:t>выбывших (всего);</w:t>
      </w:r>
    </w:p>
    <w:p w14:paraId="4CAD128C">
      <w:pPr>
        <w:pStyle w:val="76"/>
      </w:pPr>
      <w:r>
        <w:t>нарастающего итога поступивших;</w:t>
      </w:r>
    </w:p>
    <w:p w14:paraId="26AD6DD6">
      <w:pPr>
        <w:pStyle w:val="76"/>
      </w:pPr>
      <w:r>
        <w:t>нарастающего итога выбывших.</w:t>
      </w:r>
    </w:p>
    <w:p w14:paraId="665B7093">
      <w:pPr>
        <w:pStyle w:val="69"/>
        <w:keepNext/>
      </w:pPr>
      <w:r>
        <w:t>При этом:</w:t>
      </w:r>
    </w:p>
    <w:p w14:paraId="5CFA9C54">
      <w:pPr>
        <w:pStyle w:val="76"/>
      </w:pPr>
      <w:r>
        <w:t>по вертикали:</w:t>
      </w:r>
    </w:p>
    <w:p w14:paraId="154C360F">
      <w:pPr>
        <w:pStyle w:val="78"/>
        <w:numPr>
          <w:ilvl w:val="0"/>
          <w:numId w:val="9"/>
        </w:numPr>
      </w:pPr>
      <w:r>
        <w:t>количество коек нарастающим итогом,</w:t>
      </w:r>
    </w:p>
    <w:p w14:paraId="27C29460">
      <w:pPr>
        <w:pStyle w:val="78"/>
        <w:numPr>
          <w:ilvl w:val="0"/>
          <w:numId w:val="9"/>
        </w:numPr>
      </w:pPr>
      <w:r>
        <w:t>посуточное количество коек;</w:t>
      </w:r>
    </w:p>
    <w:p w14:paraId="6EC2DFD1">
      <w:pPr>
        <w:pStyle w:val="76"/>
      </w:pPr>
      <w:r>
        <w:t>по горизонтали — даты заданного периода.</w:t>
      </w:r>
    </w:p>
    <w:p w14:paraId="451156ED">
      <w:pPr>
        <w:pStyle w:val="69"/>
      </w:pPr>
      <w:r>
        <w:t>Каждая информационная панель в нижней части содержит легенду визуализации.</w:t>
      </w:r>
    </w:p>
    <w:p w14:paraId="4540A1A2">
      <w:pPr>
        <w:pStyle w:val="73"/>
      </w:pPr>
      <w:r>
        <w:drawing>
          <wp:inline distT="0" distB="0" distL="0" distR="0">
            <wp:extent cx="6120765" cy="3157855"/>
            <wp:effectExtent l="19050" t="19050" r="13335" b="23495"/>
            <wp:docPr id="80484670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846707" name="Рисунок 2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a:xfrm>
                      <a:off x="0" y="0"/>
                      <a:ext cx="6120765" cy="3157855"/>
                    </a:xfrm>
                    <a:prstGeom prst="rect">
                      <a:avLst/>
                    </a:prstGeom>
                    <a:noFill/>
                    <a:ln w="3175" cmpd="sng">
                      <a:solidFill>
                        <a:srgbClr val="000000"/>
                      </a:solidFill>
                    </a:ln>
                  </pic:spPr>
                </pic:pic>
              </a:graphicData>
            </a:graphic>
          </wp:inline>
        </w:drawing>
      </w:r>
    </w:p>
    <w:p w14:paraId="5B858E07">
      <w:pPr>
        <w:pStyle w:val="74"/>
      </w:pPr>
      <w:r>
        <w:t xml:space="preserve">Рисунок </w:t>
      </w:r>
      <w:r>
        <w:fldChar w:fldCharType="begin"/>
      </w:r>
      <w:r>
        <w:instrText xml:space="preserve"> SEQ Рисунок \* ARABIC </w:instrText>
      </w:r>
      <w:r>
        <w:fldChar w:fldCharType="separate"/>
      </w:r>
      <w:r>
        <w:t>185</w:t>
      </w:r>
      <w:r>
        <w:fldChar w:fldCharType="end"/>
      </w:r>
      <w:r>
        <w:t xml:space="preserve"> — </w:t>
      </w:r>
      <w:bookmarkStart w:id="2759" w:name="_Hlk205903931"/>
      <w:r>
        <w:t>Графическое представление данных оборота коечного фонда. Панель «Поступившие, выбывшие нарастающим итогом». Режим «По профилю»</w:t>
      </w:r>
      <w:bookmarkEnd w:id="2759"/>
    </w:p>
    <w:p w14:paraId="2DA69C01">
      <w:pPr>
        <w:pStyle w:val="69"/>
      </w:pPr>
      <w:r>
        <w:t>При выборе режима отбора «В ОМС» по вертикали вместо количества заявленных коек всего отображается количество заявленных коек в ОМС.</w:t>
      </w:r>
    </w:p>
    <w:p w14:paraId="6BBB96B2">
      <w:pPr>
        <w:pStyle w:val="69"/>
      </w:pPr>
      <w:r>
        <w:t xml:space="preserve">Для просмотра сведений одного структурного подразделения нажать в цветовой легенде на область структурного подразделения. На визуальной форме отобразится столбовая диаграмма только со сведениями по выделенному структурному подразделению (рис. </w:t>
      </w:r>
      <w:r>
        <w:fldChar w:fldCharType="begin"/>
      </w:r>
      <w:r>
        <w:instrText xml:space="preserve"> REF  _Ref205549200 \h \t\#\0   \* MERGEFORMAT </w:instrText>
      </w:r>
      <w:r>
        <w:fldChar w:fldCharType="separate"/>
      </w:r>
      <w:r>
        <w:t>186</w:t>
      </w:r>
      <w:r>
        <w:fldChar w:fldCharType="end"/>
      </w:r>
      <w:r>
        <w:t>).</w:t>
      </w:r>
    </w:p>
    <w:p w14:paraId="16911DAF">
      <w:pPr>
        <w:pStyle w:val="73"/>
      </w:pPr>
      <w:r>
        <w:drawing>
          <wp:inline distT="0" distB="0" distL="0" distR="0">
            <wp:extent cx="6120765" cy="3108960"/>
            <wp:effectExtent l="19050" t="19050" r="13335" b="15240"/>
            <wp:docPr id="96943838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438389" name="Рисунок 2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a:xfrm>
                      <a:off x="0" y="0"/>
                      <a:ext cx="6120765" cy="3108960"/>
                    </a:xfrm>
                    <a:prstGeom prst="rect">
                      <a:avLst/>
                    </a:prstGeom>
                    <a:noFill/>
                    <a:ln w="3175" cmpd="sng">
                      <a:solidFill>
                        <a:srgbClr val="000000"/>
                      </a:solidFill>
                    </a:ln>
                  </pic:spPr>
                </pic:pic>
              </a:graphicData>
            </a:graphic>
          </wp:inline>
        </w:drawing>
      </w:r>
    </w:p>
    <w:p w14:paraId="582C6F28">
      <w:pPr>
        <w:pStyle w:val="74"/>
      </w:pPr>
      <w:bookmarkStart w:id="2760" w:name="_Ref205549200"/>
      <w:r>
        <w:t xml:space="preserve">Рисунок </w:t>
      </w:r>
      <w:r>
        <w:fldChar w:fldCharType="begin"/>
      </w:r>
      <w:r>
        <w:instrText xml:space="preserve"> SEQ Рисунок \* ARABIC </w:instrText>
      </w:r>
      <w:r>
        <w:fldChar w:fldCharType="separate"/>
      </w:r>
      <w:r>
        <w:t>186</w:t>
      </w:r>
      <w:r>
        <w:fldChar w:fldCharType="end"/>
      </w:r>
      <w:bookmarkEnd w:id="2760"/>
      <w:r>
        <w:t xml:space="preserve"> — Графическое представление данных оборота коечного фонда. Панель «Поступившие, выбывшие нарастающим итогом». Режим «По профилю». Сведения в разрезе одного структурного подразделения</w:t>
      </w:r>
    </w:p>
    <w:bookmarkEnd w:id="2672"/>
    <w:bookmarkEnd w:id="2688"/>
    <w:bookmarkEnd w:id="2689"/>
    <w:bookmarkEnd w:id="2690"/>
    <w:p w14:paraId="6390C621">
      <w:pPr>
        <w:pStyle w:val="58"/>
      </w:pPr>
      <w:bookmarkStart w:id="2761" w:name="_Ref182996310"/>
      <w:bookmarkStart w:id="2762" w:name="_Toc183000159"/>
      <w:bookmarkStart w:id="2763" w:name="_Toc225866372"/>
      <w:bookmarkStart w:id="2764" w:name="_Toc164866511"/>
      <w:r>
        <w:t>Просмотр сведений организационно-штатной структуры МО по данным ФРМО и ФРМР</w:t>
      </w:r>
      <w:bookmarkEnd w:id="2761"/>
      <w:bookmarkEnd w:id="2762"/>
      <w:bookmarkEnd w:id="2763"/>
    </w:p>
    <w:p w14:paraId="5A79E854">
      <w:pPr>
        <w:pStyle w:val="69"/>
      </w:pPr>
      <w:r>
        <w:t>Просмотр сведений организационно-штатной структуры (ОШС) МО по данным ФРМО и ФРМР доступен пользователям ТФОМС с ролью:</w:t>
      </w:r>
    </w:p>
    <w:p w14:paraId="11D2BEE0">
      <w:pPr>
        <w:pStyle w:val="76"/>
      </w:pPr>
      <w:r>
        <w:t>Плательщик ТФОМС;</w:t>
      </w:r>
    </w:p>
    <w:p w14:paraId="5CF1617A">
      <w:pPr>
        <w:pStyle w:val="76"/>
      </w:pPr>
      <w:r>
        <w:t>Куратор по СМО;</w:t>
      </w:r>
    </w:p>
    <w:p w14:paraId="333577D0">
      <w:pPr>
        <w:pStyle w:val="76"/>
      </w:pPr>
      <w:r>
        <w:t>Куратор по МО.</w:t>
      </w:r>
    </w:p>
    <w:p w14:paraId="0978350C">
      <w:pPr>
        <w:pStyle w:val="69"/>
      </w:pPr>
      <w:r>
        <w:t>При этом доступен просмотр сведений ОШС только МО, входящих в территорию субъекта ТФОМС.</w:t>
      </w:r>
    </w:p>
    <w:bookmarkEnd w:id="2764"/>
    <w:p w14:paraId="567A7E49">
      <w:pPr>
        <w:pStyle w:val="60"/>
      </w:pPr>
      <w:bookmarkStart w:id="2765" w:name="_Toc183000161"/>
      <w:bookmarkStart w:id="2766" w:name="_Toc225866373"/>
      <w:bookmarkStart w:id="2767" w:name="_Toc164866512"/>
      <w:bookmarkStart w:id="2768" w:name="_Ref182996172"/>
      <w:r>
        <w:t>Просмотр сведений о медицинской организации и медицинских работниках</w:t>
      </w:r>
      <w:bookmarkEnd w:id="2765"/>
      <w:bookmarkEnd w:id="2766"/>
      <w:bookmarkEnd w:id="2767"/>
      <w:bookmarkEnd w:id="2768"/>
    </w:p>
    <w:p w14:paraId="73CA2EF4">
      <w:pPr>
        <w:pStyle w:val="69"/>
      </w:pPr>
      <w:r>
        <w:t>Сведения об организационно-штатной структуре (ОШС) медицинской организации, участвующей в территориальной программе ОМС, отображаются в ФПУМП по данным ФРМО ЕГИСЗ и ФРМР ЕГИСЗ.</w:t>
      </w:r>
    </w:p>
    <w:p w14:paraId="72B48852">
      <w:pPr>
        <w:pStyle w:val="69"/>
      </w:pPr>
      <w:r>
        <w:t>Просмотр сведений об организационно-штатной структуре МО, сведений о занятости, сертификатах и аккредитации медицинских работников доступен в разделе «Организационно-штатная структура».</w:t>
      </w:r>
    </w:p>
    <w:p w14:paraId="7BDCB8A0">
      <w:pPr>
        <w:pStyle w:val="69"/>
        <w:rPr>
          <w:rFonts w:eastAsia="Arial Unicode MS"/>
        </w:rPr>
      </w:pPr>
      <w:r>
        <w:t>Для перехода в раздел в ленте главного меню нажать кнопку «Все разделы» и во </w:t>
      </w:r>
      <w:r>
        <w:rPr>
          <w:rFonts w:eastAsia="Arial Unicode MS"/>
        </w:rPr>
        <w:t xml:space="preserve">всплывающем меню выбрать вкладку «Организационно-штатная структура» (рис. </w:t>
      </w:r>
      <w:r>
        <w:rPr>
          <w:rFonts w:eastAsia="Arial Unicode MS"/>
        </w:rPr>
        <w:fldChar w:fldCharType="begin"/>
      </w:r>
      <w:r>
        <w:rPr>
          <w:rFonts w:eastAsia="Arial Unicode MS"/>
        </w:rPr>
        <w:instrText xml:space="preserve"> REF  _Ref147222079 \h\#\0   \* MERGEFORMAT </w:instrText>
      </w:r>
      <w:r>
        <w:rPr>
          <w:rFonts w:eastAsia="Arial Unicode MS"/>
        </w:rPr>
        <w:fldChar w:fldCharType="separate"/>
      </w:r>
      <w:r>
        <w:rPr>
          <w:rFonts w:eastAsia="Arial Unicode MS"/>
        </w:rPr>
        <w:t>187</w:t>
      </w:r>
      <w:r>
        <w:rPr>
          <w:rFonts w:eastAsia="Arial Unicode MS"/>
        </w:rPr>
        <w:fldChar w:fldCharType="end"/>
      </w:r>
      <w:r>
        <w:rPr>
          <w:rFonts w:eastAsia="Arial Unicode MS"/>
        </w:rPr>
        <w:t xml:space="preserve">). Также можно выбрать тип сведений для просмотра: </w:t>
      </w:r>
    </w:p>
    <w:p w14:paraId="0B5ACDDC">
      <w:pPr>
        <w:pStyle w:val="76"/>
      </w:pPr>
      <w:r>
        <w:t>«Отделения»;</w:t>
      </w:r>
    </w:p>
    <w:p w14:paraId="2CCFC619">
      <w:pPr>
        <w:pStyle w:val="76"/>
      </w:pPr>
      <w:r>
        <w:t>«Занятость»;</w:t>
      </w:r>
    </w:p>
    <w:p w14:paraId="5DA3DFAA">
      <w:pPr>
        <w:pStyle w:val="76"/>
      </w:pPr>
      <w:r>
        <w:t>«Медицинские организации»;</w:t>
      </w:r>
    </w:p>
    <w:p w14:paraId="72C85B3D">
      <w:pPr>
        <w:pStyle w:val="76"/>
      </w:pPr>
      <w:r>
        <w:t>«Структурные подразделения».</w:t>
      </w:r>
    </w:p>
    <w:p w14:paraId="7054E128">
      <w:pPr>
        <w:pStyle w:val="73"/>
      </w:pPr>
      <w:r>
        <w:drawing>
          <wp:inline distT="0" distB="0" distL="0" distR="0">
            <wp:extent cx="5399405" cy="2325370"/>
            <wp:effectExtent l="19050" t="19050" r="10795" b="17780"/>
            <wp:docPr id="2387649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64992" name="Рисунок 1"/>
                    <pic:cNvPicPr>
                      <a:picLocks noChangeAspect="1"/>
                    </pic:cNvPicPr>
                  </pic:nvPicPr>
                  <pic:blipFill>
                    <a:blip r:embed="rId220"/>
                    <a:stretch>
                      <a:fillRect/>
                    </a:stretch>
                  </pic:blipFill>
                  <pic:spPr>
                    <a:xfrm>
                      <a:off x="0" y="0"/>
                      <a:ext cx="5400000" cy="2325412"/>
                    </a:xfrm>
                    <a:prstGeom prst="rect">
                      <a:avLst/>
                    </a:prstGeom>
                    <a:ln w="3175" cmpd="sng">
                      <a:solidFill>
                        <a:srgbClr val="000000"/>
                      </a:solidFill>
                    </a:ln>
                  </pic:spPr>
                </pic:pic>
              </a:graphicData>
            </a:graphic>
          </wp:inline>
        </w:drawing>
      </w:r>
    </w:p>
    <w:p w14:paraId="034EB97D">
      <w:pPr>
        <w:pStyle w:val="74"/>
      </w:pPr>
      <w:bookmarkStart w:id="2769" w:name="_Ref147222079"/>
      <w:r>
        <w:t xml:space="preserve">Рисунок </w:t>
      </w:r>
      <w:r>
        <w:fldChar w:fldCharType="begin"/>
      </w:r>
      <w:r>
        <w:instrText xml:space="preserve"> SEQ Рисунок \* ARABIC </w:instrText>
      </w:r>
      <w:r>
        <w:fldChar w:fldCharType="separate"/>
      </w:r>
      <w:r>
        <w:t>187</w:t>
      </w:r>
      <w:r>
        <w:fldChar w:fldCharType="end"/>
      </w:r>
      <w:bookmarkEnd w:id="2769"/>
      <w:r>
        <w:t xml:space="preserve"> — </w:t>
      </w:r>
      <w:bookmarkStart w:id="2770" w:name="_Hlk183083724"/>
      <w:r>
        <w:t>Всплывающее меню «Все разделы»</w:t>
      </w:r>
      <w:bookmarkEnd w:id="2770"/>
    </w:p>
    <w:p w14:paraId="7E2EB0EC">
      <w:pPr>
        <w:pStyle w:val="60"/>
        <w:rPr>
          <w:lang w:eastAsia="en-US"/>
        </w:rPr>
      </w:pPr>
      <w:bookmarkStart w:id="2771" w:name="_Toc154661948"/>
      <w:bookmarkEnd w:id="2771"/>
      <w:bookmarkStart w:id="2772" w:name="_Toc154662989"/>
      <w:bookmarkEnd w:id="2772"/>
      <w:bookmarkStart w:id="2773" w:name="_Ref147162061"/>
      <w:bookmarkStart w:id="2774" w:name="_Ref148710935"/>
      <w:bookmarkStart w:id="2775" w:name="_Toc149209630"/>
      <w:bookmarkStart w:id="2776" w:name="_Toc164866514"/>
      <w:bookmarkStart w:id="2777" w:name="_Ref182996192"/>
      <w:bookmarkStart w:id="2778" w:name="_Toc183000162"/>
      <w:bookmarkStart w:id="2779" w:name="_Toc225866374"/>
      <w:r>
        <w:rPr>
          <w:lang w:eastAsia="en-US"/>
        </w:rPr>
        <w:t>Просмотр сведений о медицинских организаци</w:t>
      </w:r>
      <w:bookmarkEnd w:id="2773"/>
      <w:bookmarkEnd w:id="2774"/>
      <w:bookmarkEnd w:id="2775"/>
      <w:bookmarkEnd w:id="2776"/>
      <w:bookmarkEnd w:id="2777"/>
      <w:bookmarkEnd w:id="2778"/>
      <w:r>
        <w:rPr>
          <w:lang w:eastAsia="en-US"/>
        </w:rPr>
        <w:t>ях</w:t>
      </w:r>
      <w:bookmarkEnd w:id="2779"/>
    </w:p>
    <w:p w14:paraId="16A1DEC4">
      <w:pPr>
        <w:pStyle w:val="69"/>
      </w:pPr>
      <w:bookmarkStart w:id="2780" w:name="_Hlk147231460"/>
      <w:r>
        <w:t xml:space="preserve">Для просмотра сведений </w:t>
      </w:r>
      <w:bookmarkEnd w:id="2780"/>
      <w:r>
        <w:t xml:space="preserve">МО в разделе «Организационно-штатная структура» выбрать вкладку «Медицинские организации» (рис. </w:t>
      </w:r>
      <w:r>
        <w:fldChar w:fldCharType="begin"/>
      </w:r>
      <w:r>
        <w:instrText xml:space="preserve"> REF  _Ref214638758 \h \t \#\0 \* MERGEFORMAT </w:instrText>
      </w:r>
      <w:r>
        <w:fldChar w:fldCharType="separate"/>
      </w:r>
      <w:r>
        <w:t>188</w:t>
      </w:r>
      <w:r>
        <w:fldChar w:fldCharType="end"/>
      </w:r>
      <w:r>
        <w:t>).</w:t>
      </w:r>
    </w:p>
    <w:p w14:paraId="063BCB3B">
      <w:pPr>
        <w:pStyle w:val="73"/>
      </w:pPr>
      <w:r>
        <w:drawing>
          <wp:inline distT="0" distB="0" distL="0" distR="0">
            <wp:extent cx="6119495" cy="986155"/>
            <wp:effectExtent l="19050" t="19050" r="14605" b="23495"/>
            <wp:docPr id="17966314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631448" name="Рисунок 1"/>
                    <pic:cNvPicPr>
                      <a:picLocks noChangeAspect="1"/>
                    </pic:cNvPicPr>
                  </pic:nvPicPr>
                  <pic:blipFill>
                    <a:blip r:embed="rId221"/>
                    <a:stretch>
                      <a:fillRect/>
                    </a:stretch>
                  </pic:blipFill>
                  <pic:spPr>
                    <a:xfrm>
                      <a:off x="0" y="0"/>
                      <a:ext cx="6119495" cy="986155"/>
                    </a:xfrm>
                    <a:prstGeom prst="rect">
                      <a:avLst/>
                    </a:prstGeom>
                    <a:ln w="3175" cmpd="sng">
                      <a:solidFill>
                        <a:srgbClr val="000000"/>
                      </a:solidFill>
                    </a:ln>
                  </pic:spPr>
                </pic:pic>
              </a:graphicData>
            </a:graphic>
          </wp:inline>
        </w:drawing>
      </w:r>
    </w:p>
    <w:p w14:paraId="075C183A">
      <w:pPr>
        <w:pStyle w:val="74"/>
      </w:pPr>
      <w:bookmarkStart w:id="2781" w:name="_Ref214638758"/>
      <w:r>
        <w:t xml:space="preserve">Рисунок </w:t>
      </w:r>
      <w:r>
        <w:fldChar w:fldCharType="begin"/>
      </w:r>
      <w:r>
        <w:instrText xml:space="preserve"> SEQ Рисунок \* ARABIC </w:instrText>
      </w:r>
      <w:r>
        <w:fldChar w:fldCharType="separate"/>
      </w:r>
      <w:r>
        <w:t>188</w:t>
      </w:r>
      <w:r>
        <w:fldChar w:fldCharType="end"/>
      </w:r>
      <w:bookmarkEnd w:id="2781"/>
      <w:r>
        <w:t xml:space="preserve"> — Раздел «Организационно-штатная структура». Подраздел «Медицинские организации»</w:t>
      </w:r>
    </w:p>
    <w:p w14:paraId="0AC9C8FF">
      <w:pPr>
        <w:pStyle w:val="69"/>
      </w:pPr>
      <w:r>
        <w:t>В панели «Фильтр» ввести требуемые значения и нажать «Найти». Отметка «Показать только ГМО» позволяет отобрать только головные медицинские организации.</w:t>
      </w:r>
    </w:p>
    <w:p w14:paraId="7A30A272">
      <w:pPr>
        <w:pStyle w:val="73"/>
      </w:pPr>
      <w:r>
        <w:drawing>
          <wp:inline distT="0" distB="0" distL="0" distR="0">
            <wp:extent cx="2159635" cy="1879600"/>
            <wp:effectExtent l="19050" t="19050" r="12065" b="25400"/>
            <wp:docPr id="4659793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79332" name="Рисунок 1"/>
                    <pic:cNvPicPr>
                      <a:picLocks noChangeAspect="1"/>
                    </pic:cNvPicPr>
                  </pic:nvPicPr>
                  <pic:blipFill>
                    <a:blip r:embed="rId222"/>
                    <a:stretch>
                      <a:fillRect/>
                    </a:stretch>
                  </pic:blipFill>
                  <pic:spPr>
                    <a:xfrm>
                      <a:off x="0" y="0"/>
                      <a:ext cx="2160000" cy="1879695"/>
                    </a:xfrm>
                    <a:prstGeom prst="rect">
                      <a:avLst/>
                    </a:prstGeom>
                    <a:ln w="3175" cmpd="sng">
                      <a:solidFill>
                        <a:srgbClr val="000000"/>
                      </a:solidFill>
                    </a:ln>
                  </pic:spPr>
                </pic:pic>
              </a:graphicData>
            </a:graphic>
          </wp:inline>
        </w:drawing>
      </w:r>
    </w:p>
    <w:p w14:paraId="36D4D804">
      <w:pPr>
        <w:pStyle w:val="74"/>
      </w:pPr>
      <w:r>
        <w:t xml:space="preserve">Рисунок </w:t>
      </w:r>
      <w:r>
        <w:fldChar w:fldCharType="begin"/>
      </w:r>
      <w:r>
        <w:instrText xml:space="preserve"> SEQ Рисунок \* ARABIC </w:instrText>
      </w:r>
      <w:r>
        <w:fldChar w:fldCharType="separate"/>
      </w:r>
      <w:r>
        <w:t>189</w:t>
      </w:r>
      <w:r>
        <w:fldChar w:fldCharType="end"/>
      </w:r>
      <w:r>
        <w:t xml:space="preserve"> — Раздел «Организационно-штатная структура». Фильтр подраздела «Медицинские организации» </w:t>
      </w:r>
    </w:p>
    <w:p w14:paraId="35C22E43">
      <w:pPr>
        <w:pStyle w:val="69"/>
      </w:pPr>
      <w:r>
        <w:t xml:space="preserve">В рабочей области отобразятся основные сведения о медицинских организациях выбранного региона (рис. </w:t>
      </w:r>
      <w:r>
        <w:fldChar w:fldCharType="begin"/>
      </w:r>
      <w:r>
        <w:instrText xml:space="preserve"> REF  _Ref214638982 \h \t \#\0 \* MERGEFORMAT </w:instrText>
      </w:r>
      <w:r>
        <w:fldChar w:fldCharType="separate"/>
      </w:r>
      <w:r>
        <w:t>190</w:t>
      </w:r>
      <w:r>
        <w:fldChar w:fldCharType="end"/>
      </w:r>
      <w:r>
        <w:t>)</w:t>
      </w:r>
    </w:p>
    <w:p w14:paraId="6705F101">
      <w:pPr>
        <w:pStyle w:val="73"/>
      </w:pPr>
    </w:p>
    <w:p w14:paraId="680400A9">
      <w:pPr>
        <w:pStyle w:val="73"/>
      </w:pPr>
      <w:bookmarkStart w:id="2782" w:name="_Ref182993899"/>
      <w:r>
        <w:drawing>
          <wp:inline distT="0" distB="0" distL="0" distR="0">
            <wp:extent cx="6119495" cy="3892550"/>
            <wp:effectExtent l="19050" t="19050" r="14605" b="12700"/>
            <wp:docPr id="11100525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052540" name="Рисунок 1"/>
                    <pic:cNvPicPr>
                      <a:picLocks noChangeAspect="1"/>
                    </pic:cNvPicPr>
                  </pic:nvPicPr>
                  <pic:blipFill>
                    <a:blip r:embed="rId223"/>
                    <a:stretch>
                      <a:fillRect/>
                    </a:stretch>
                  </pic:blipFill>
                  <pic:spPr>
                    <a:xfrm>
                      <a:off x="0" y="0"/>
                      <a:ext cx="6119495" cy="3892550"/>
                    </a:xfrm>
                    <a:prstGeom prst="rect">
                      <a:avLst/>
                    </a:prstGeom>
                    <a:ln w="3175" cmpd="sng">
                      <a:solidFill>
                        <a:srgbClr val="000000"/>
                      </a:solidFill>
                    </a:ln>
                  </pic:spPr>
                </pic:pic>
              </a:graphicData>
            </a:graphic>
          </wp:inline>
        </w:drawing>
      </w:r>
    </w:p>
    <w:p w14:paraId="368CA27C">
      <w:pPr>
        <w:pStyle w:val="74"/>
      </w:pPr>
      <w:bookmarkStart w:id="2783" w:name="_Ref214638982"/>
      <w:r>
        <w:t xml:space="preserve">Рисунок </w:t>
      </w:r>
      <w:r>
        <w:fldChar w:fldCharType="begin"/>
      </w:r>
      <w:r>
        <w:instrText xml:space="preserve"> SEQ Рисунок \* ARABIC </w:instrText>
      </w:r>
      <w:r>
        <w:fldChar w:fldCharType="separate"/>
      </w:r>
      <w:r>
        <w:t>190</w:t>
      </w:r>
      <w:r>
        <w:fldChar w:fldCharType="end"/>
      </w:r>
      <w:bookmarkEnd w:id="2782"/>
      <w:bookmarkEnd w:id="2783"/>
      <w:r>
        <w:t xml:space="preserve"> — Раздел «Организационно-штатная структура». Подраздел «Медицинские организации»</w:t>
      </w:r>
    </w:p>
    <w:p w14:paraId="238065CC">
      <w:pPr>
        <w:pStyle w:val="69"/>
      </w:pPr>
      <w:r>
        <w:t>Табличная часть содержит:</w:t>
      </w:r>
    </w:p>
    <w:p w14:paraId="543B2153">
      <w:pPr>
        <w:pStyle w:val="76"/>
      </w:pPr>
      <w:r>
        <w:t>«Код МО в системе ОМС»;</w:t>
      </w:r>
    </w:p>
    <w:p w14:paraId="7B7A427E">
      <w:pPr>
        <w:pStyle w:val="76"/>
      </w:pPr>
      <w:r>
        <w:t xml:space="preserve">«OID» — </w:t>
      </w:r>
      <w:bookmarkStart w:id="2784" w:name="_Hlk214629373"/>
      <w:r>
        <w:t>код МО по справочнику ФРМО</w:t>
      </w:r>
      <w:bookmarkEnd w:id="2784"/>
      <w:r>
        <w:t>;</w:t>
      </w:r>
    </w:p>
    <w:p w14:paraId="1C55D7B5">
      <w:pPr>
        <w:pStyle w:val="76"/>
      </w:pPr>
      <w:r>
        <w:t>«Наименование»;</w:t>
      </w:r>
    </w:p>
    <w:p w14:paraId="2440FF04">
      <w:pPr>
        <w:pStyle w:val="76"/>
      </w:pPr>
      <w:r>
        <w:t>«</w:t>
      </w:r>
      <w:r>
        <w:rPr>
          <w:lang w:val="en-US"/>
        </w:rPr>
        <w:t>OID</w:t>
      </w:r>
      <w:r>
        <w:t xml:space="preserve"> ГО» — код головной организации по справочнику ФРМО (по умолчанию скрыт);</w:t>
      </w:r>
    </w:p>
    <w:p w14:paraId="5CF89F34">
      <w:pPr>
        <w:pStyle w:val="76"/>
      </w:pPr>
      <w:r>
        <w:t xml:space="preserve">«Дата начала действия записи в ФРМО» </w:t>
      </w:r>
      <w:bookmarkStart w:id="2785" w:name="_Hlk183084967"/>
      <w:r>
        <w:t xml:space="preserve">— сведения о дате начала действия записи о МО в ФПУМП по данным </w:t>
      </w:r>
      <w:bookmarkEnd w:id="2785"/>
      <w:r>
        <w:t>ФРМО;</w:t>
      </w:r>
    </w:p>
    <w:p w14:paraId="49006CE6">
      <w:pPr>
        <w:pStyle w:val="76"/>
      </w:pPr>
      <w:r>
        <w:t>«Дата окончания действия записи в ФРМО» — сведения о дате окончания действия записи о МО в ФПУМП по данным ФРМО;</w:t>
      </w:r>
    </w:p>
    <w:p w14:paraId="305E99AF">
      <w:pPr>
        <w:pStyle w:val="76"/>
      </w:pPr>
      <w:bookmarkStart w:id="2786" w:name="_Hlk205567006"/>
      <w:r>
        <w:drawing>
          <wp:inline distT="0" distB="0" distL="0" distR="0">
            <wp:extent cx="190500" cy="180975"/>
            <wp:effectExtent l="19050" t="19050" r="19050" b="9525"/>
            <wp:docPr id="20078709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870961" name="Рисунок 1"/>
                    <pic:cNvPicPr>
                      <a:picLocks noChangeAspect="1"/>
                    </pic:cNvPicPr>
                  </pic:nvPicPr>
                  <pic:blipFill>
                    <a:blip r:embed="rId43"/>
                    <a:stretch>
                      <a:fillRect/>
                    </a:stretch>
                  </pic:blipFill>
                  <pic:spPr>
                    <a:xfrm>
                      <a:off x="0" y="0"/>
                      <a:ext cx="190527" cy="181000"/>
                    </a:xfrm>
                    <a:prstGeom prst="rect">
                      <a:avLst/>
                    </a:prstGeom>
                    <a:ln w="3175" cmpd="sng">
                      <a:solidFill>
                        <a:srgbClr val="000000"/>
                      </a:solidFill>
                    </a:ln>
                  </pic:spPr>
                </pic:pic>
              </a:graphicData>
            </a:graphic>
          </wp:inline>
        </w:drawing>
      </w:r>
      <w:r>
        <w:t xml:space="preserve"> «Настройки» — отбор столбцов для отображения.</w:t>
      </w:r>
    </w:p>
    <w:p w14:paraId="02868A6B">
      <w:pPr>
        <w:pStyle w:val="69"/>
      </w:pPr>
      <w:r>
        <w:t>Доступна сортировка при нажатии на наименование столбца.</w:t>
      </w:r>
    </w:p>
    <w:p w14:paraId="64A60081">
      <w:pPr>
        <w:pStyle w:val="69"/>
      </w:pPr>
      <w:r>
        <w:t>Доступен поиск МО по сочетанию клавиш «</w:t>
      </w:r>
      <w:r>
        <w:rPr>
          <w:lang w:val="en-US"/>
        </w:rPr>
        <w:t>Ctrl</w:t>
      </w:r>
      <w:r>
        <w:t>» + «</w:t>
      </w:r>
      <w:r>
        <w:rPr>
          <w:lang w:val="en-US"/>
        </w:rPr>
        <w:t>F</w:t>
      </w:r>
      <w:r>
        <w:t>».</w:t>
      </w:r>
    </w:p>
    <w:bookmarkEnd w:id="2786"/>
    <w:p w14:paraId="702953FD">
      <w:pPr>
        <w:pStyle w:val="60"/>
      </w:pPr>
      <w:bookmarkStart w:id="2787" w:name="_Ref147233499"/>
      <w:bookmarkStart w:id="2788" w:name="_Toc149209631"/>
      <w:bookmarkStart w:id="2789" w:name="_Toc164866515"/>
      <w:bookmarkStart w:id="2790" w:name="_Toc183000163"/>
      <w:bookmarkStart w:id="2791" w:name="_Toc225866375"/>
      <w:r>
        <w:rPr>
          <w:lang w:eastAsia="en-US"/>
        </w:rPr>
        <w:t xml:space="preserve">Просмотр сведений о </w:t>
      </w:r>
      <w:r>
        <w:t>структурных подразделения</w:t>
      </w:r>
      <w:bookmarkEnd w:id="2787"/>
      <w:bookmarkEnd w:id="2788"/>
      <w:bookmarkEnd w:id="2789"/>
      <w:bookmarkEnd w:id="2790"/>
      <w:r>
        <w:t>х</w:t>
      </w:r>
      <w:bookmarkEnd w:id="2791"/>
    </w:p>
    <w:p w14:paraId="7C87F84F">
      <w:pPr>
        <w:pStyle w:val="69"/>
        <w:keepNext/>
      </w:pPr>
      <w:bookmarkStart w:id="2792" w:name="_Hlk146554740"/>
      <w:r>
        <w:t xml:space="preserve">Для просмотра общих сведений о структурных подразделениях МО в разделе «Организационно-штатная структура» выбрать вкладку «Структурные подразделения» (рис. </w:t>
      </w:r>
      <w:r>
        <w:fldChar w:fldCharType="begin"/>
      </w:r>
      <w:r>
        <w:instrText xml:space="preserve"> REF  _Ref182994637 \h\#\0   \* MERGEFORMAT </w:instrText>
      </w:r>
      <w:r>
        <w:fldChar w:fldCharType="separate"/>
      </w:r>
      <w:r>
        <w:t>193</w:t>
      </w:r>
      <w:r>
        <w:fldChar w:fldCharType="end"/>
      </w:r>
      <w:r>
        <w:t>).</w:t>
      </w:r>
    </w:p>
    <w:p w14:paraId="7F9D0684">
      <w:pPr>
        <w:pStyle w:val="73"/>
      </w:pPr>
      <w:r>
        <w:drawing>
          <wp:inline distT="0" distB="0" distL="0" distR="0">
            <wp:extent cx="6119495" cy="927100"/>
            <wp:effectExtent l="19050" t="19050" r="14605" b="25400"/>
            <wp:docPr id="8684326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432651" name="Рисунок 1"/>
                    <pic:cNvPicPr>
                      <a:picLocks noChangeAspect="1"/>
                    </pic:cNvPicPr>
                  </pic:nvPicPr>
                  <pic:blipFill>
                    <a:blip r:embed="rId224"/>
                    <a:stretch>
                      <a:fillRect/>
                    </a:stretch>
                  </pic:blipFill>
                  <pic:spPr>
                    <a:xfrm>
                      <a:off x="0" y="0"/>
                      <a:ext cx="6119495" cy="927100"/>
                    </a:xfrm>
                    <a:prstGeom prst="rect">
                      <a:avLst/>
                    </a:prstGeom>
                    <a:ln w="3175" cmpd="sng">
                      <a:solidFill>
                        <a:srgbClr val="000000"/>
                      </a:solidFill>
                    </a:ln>
                  </pic:spPr>
                </pic:pic>
              </a:graphicData>
            </a:graphic>
          </wp:inline>
        </w:drawing>
      </w:r>
    </w:p>
    <w:p w14:paraId="65136991">
      <w:pPr>
        <w:pStyle w:val="74"/>
      </w:pPr>
      <w:r>
        <w:t xml:space="preserve">Рисунок </w:t>
      </w:r>
      <w:r>
        <w:fldChar w:fldCharType="begin"/>
      </w:r>
      <w:r>
        <w:instrText xml:space="preserve"> SEQ Рисунок \* ARABIC </w:instrText>
      </w:r>
      <w:r>
        <w:fldChar w:fldCharType="separate"/>
      </w:r>
      <w:r>
        <w:t>191</w:t>
      </w:r>
      <w:r>
        <w:fldChar w:fldCharType="end"/>
      </w:r>
      <w:r>
        <w:t xml:space="preserve"> — Раздел «Организационно-штатная структура». Подраздел «Структурные подразделения»</w:t>
      </w:r>
    </w:p>
    <w:p w14:paraId="3216A916">
      <w:pPr>
        <w:pStyle w:val="69"/>
      </w:pPr>
      <w:bookmarkStart w:id="2793" w:name="_Hlk205567827"/>
      <w:r>
        <w:t>В панели «Фильтр» ввести требуемые значения и нажать «Найти». Отметка «Показать только ГМО» позволяет отобрать только головные медицинские организации.</w:t>
      </w:r>
    </w:p>
    <w:p w14:paraId="2A617DA5">
      <w:pPr>
        <w:pStyle w:val="73"/>
      </w:pPr>
      <w:r>
        <w:drawing>
          <wp:inline distT="0" distB="0" distL="0" distR="0">
            <wp:extent cx="3383915" cy="2057400"/>
            <wp:effectExtent l="19050" t="19050" r="26035" b="19050"/>
            <wp:docPr id="4196867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86716" name="Рисунок 1"/>
                    <pic:cNvPicPr>
                      <a:picLocks noChangeAspect="1"/>
                    </pic:cNvPicPr>
                  </pic:nvPicPr>
                  <pic:blipFill>
                    <a:blip r:embed="rId225"/>
                    <a:stretch>
                      <a:fillRect/>
                    </a:stretch>
                  </pic:blipFill>
                  <pic:spPr>
                    <a:xfrm>
                      <a:off x="0" y="0"/>
                      <a:ext cx="3384000" cy="2057832"/>
                    </a:xfrm>
                    <a:prstGeom prst="rect">
                      <a:avLst/>
                    </a:prstGeom>
                    <a:ln w="3175" cmpd="sng">
                      <a:solidFill>
                        <a:srgbClr val="000000"/>
                      </a:solidFill>
                    </a:ln>
                  </pic:spPr>
                </pic:pic>
              </a:graphicData>
            </a:graphic>
          </wp:inline>
        </w:drawing>
      </w:r>
    </w:p>
    <w:p w14:paraId="08955554">
      <w:pPr>
        <w:pStyle w:val="74"/>
      </w:pPr>
      <w:r>
        <w:t xml:space="preserve">Рисунок </w:t>
      </w:r>
      <w:r>
        <w:fldChar w:fldCharType="begin"/>
      </w:r>
      <w:r>
        <w:instrText xml:space="preserve"> SEQ Рисунок \* ARABIC </w:instrText>
      </w:r>
      <w:r>
        <w:fldChar w:fldCharType="separate"/>
      </w:r>
      <w:r>
        <w:t>192</w:t>
      </w:r>
      <w:r>
        <w:fldChar w:fldCharType="end"/>
      </w:r>
      <w:r>
        <w:t xml:space="preserve"> — Фильтр подраздела «Структурные подразделения»</w:t>
      </w:r>
    </w:p>
    <w:p w14:paraId="53048E9F">
      <w:pPr>
        <w:pStyle w:val="69"/>
      </w:pPr>
      <w:r>
        <w:t xml:space="preserve">В рабочей области отобразится список структурных подразделений, входящих в состав выбранной МО </w:t>
      </w:r>
      <w:bookmarkEnd w:id="2793"/>
      <w:r>
        <w:t xml:space="preserve">(рис. </w:t>
      </w:r>
      <w:r>
        <w:fldChar w:fldCharType="begin"/>
      </w:r>
      <w:r>
        <w:instrText xml:space="preserve"> REF  _Ref182994637 \h\#\0   \* MERGEFORMAT </w:instrText>
      </w:r>
      <w:r>
        <w:fldChar w:fldCharType="separate"/>
      </w:r>
      <w:r>
        <w:t>193</w:t>
      </w:r>
      <w:r>
        <w:fldChar w:fldCharType="end"/>
      </w:r>
      <w:r>
        <w:t>).</w:t>
      </w:r>
    </w:p>
    <w:p w14:paraId="074DE205">
      <w:pPr>
        <w:pStyle w:val="73"/>
      </w:pPr>
      <w:r>
        <w:drawing>
          <wp:inline distT="0" distB="0" distL="0" distR="0">
            <wp:extent cx="6119495" cy="3768090"/>
            <wp:effectExtent l="19050" t="19050" r="14605" b="22860"/>
            <wp:docPr id="12533538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353878" name="Рисунок 1"/>
                    <pic:cNvPicPr>
                      <a:picLocks noChangeAspect="1"/>
                    </pic:cNvPicPr>
                  </pic:nvPicPr>
                  <pic:blipFill>
                    <a:blip r:embed="rId226"/>
                    <a:stretch>
                      <a:fillRect/>
                    </a:stretch>
                  </pic:blipFill>
                  <pic:spPr>
                    <a:xfrm>
                      <a:off x="0" y="0"/>
                      <a:ext cx="6119495" cy="3768090"/>
                    </a:xfrm>
                    <a:prstGeom prst="rect">
                      <a:avLst/>
                    </a:prstGeom>
                    <a:ln w="3175" cmpd="sng">
                      <a:solidFill>
                        <a:srgbClr val="000000"/>
                      </a:solidFill>
                    </a:ln>
                  </pic:spPr>
                </pic:pic>
              </a:graphicData>
            </a:graphic>
          </wp:inline>
        </w:drawing>
      </w:r>
    </w:p>
    <w:p w14:paraId="51E47BE8">
      <w:pPr>
        <w:pStyle w:val="74"/>
      </w:pPr>
      <w:bookmarkStart w:id="2794" w:name="_Ref182994637"/>
      <w:r>
        <w:t xml:space="preserve">Рисунок </w:t>
      </w:r>
      <w:r>
        <w:fldChar w:fldCharType="begin"/>
      </w:r>
      <w:r>
        <w:instrText xml:space="preserve"> SEQ Рисунок \* ARABIC </w:instrText>
      </w:r>
      <w:r>
        <w:fldChar w:fldCharType="separate"/>
      </w:r>
      <w:r>
        <w:t>193</w:t>
      </w:r>
      <w:r>
        <w:fldChar w:fldCharType="end"/>
      </w:r>
      <w:bookmarkEnd w:id="2794"/>
      <w:r>
        <w:t xml:space="preserve"> — Раздел «Организационно-штатная структура». Подраздел «Структурные подразделения»</w:t>
      </w:r>
    </w:p>
    <w:p w14:paraId="45E1A852">
      <w:pPr>
        <w:pStyle w:val="69"/>
      </w:pPr>
      <w:r>
        <w:t>Табличная часть содержит основные данные в столбцах:</w:t>
      </w:r>
    </w:p>
    <w:p w14:paraId="5258827B">
      <w:pPr>
        <w:pStyle w:val="76"/>
      </w:pPr>
      <w:bookmarkStart w:id="2795" w:name="_Hlk205567868"/>
      <w:r>
        <w:t>«OID СП» — код структурного подразделения по справочнику ФРМО;</w:t>
      </w:r>
    </w:p>
    <w:p w14:paraId="289291E2">
      <w:pPr>
        <w:pStyle w:val="76"/>
      </w:pPr>
      <w:r>
        <w:t>«Наименование СП» — наименование структурного подразделения;</w:t>
      </w:r>
    </w:p>
    <w:p w14:paraId="19F365D8">
      <w:pPr>
        <w:pStyle w:val="76"/>
      </w:pPr>
      <w:r>
        <w:t xml:space="preserve">«OID головной МО» — </w:t>
      </w:r>
      <w:bookmarkStart w:id="2796" w:name="_Hlk214629420"/>
      <w:r>
        <w:t>код головной МО по справочнику ФРМО</w:t>
      </w:r>
      <w:bookmarkEnd w:id="2796"/>
      <w:r>
        <w:t>;</w:t>
      </w:r>
    </w:p>
    <w:p w14:paraId="2996C1AC">
      <w:pPr>
        <w:pStyle w:val="76"/>
      </w:pPr>
      <w:r>
        <w:t xml:space="preserve">«OID МО» — </w:t>
      </w:r>
      <w:bookmarkStart w:id="2797" w:name="_Hlk214629431"/>
      <w:r>
        <w:t>код МО по справочнику ФРМО</w:t>
      </w:r>
      <w:bookmarkEnd w:id="2797"/>
      <w:r>
        <w:t>;</w:t>
      </w:r>
    </w:p>
    <w:p w14:paraId="1790B1CA">
      <w:pPr>
        <w:pStyle w:val="76"/>
      </w:pPr>
      <w:r>
        <w:t xml:space="preserve">«Дата начала действия записи в ФРМО» </w:t>
      </w:r>
      <w:bookmarkStart w:id="2798" w:name="_Hlk183081135"/>
      <w:r>
        <w:t xml:space="preserve">— сведения о дате начала действия записи о СП в ФПУМП по данным </w:t>
      </w:r>
      <w:bookmarkEnd w:id="2798"/>
      <w:r>
        <w:t>ФРМО;</w:t>
      </w:r>
    </w:p>
    <w:p w14:paraId="25013EBE">
      <w:pPr>
        <w:pStyle w:val="76"/>
      </w:pPr>
      <w:r>
        <w:t>«Дата окончания действия записи в ФРМО» — сведения о дате начала действия записи о СП в ФПУМП по данным ФРМО;</w:t>
      </w:r>
    </w:p>
    <w:p w14:paraId="27ABCC16">
      <w:pPr>
        <w:pStyle w:val="76"/>
      </w:pPr>
      <w:r>
        <w:drawing>
          <wp:inline distT="0" distB="0" distL="0" distR="0">
            <wp:extent cx="190500" cy="180975"/>
            <wp:effectExtent l="19050" t="19050" r="19050" b="9525"/>
            <wp:docPr id="1488086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086106" name="Рисунок 1"/>
                    <pic:cNvPicPr>
                      <a:picLocks noChangeAspect="1"/>
                    </pic:cNvPicPr>
                  </pic:nvPicPr>
                  <pic:blipFill>
                    <a:blip r:embed="rId43"/>
                    <a:stretch>
                      <a:fillRect/>
                    </a:stretch>
                  </pic:blipFill>
                  <pic:spPr>
                    <a:xfrm>
                      <a:off x="0" y="0"/>
                      <a:ext cx="190527" cy="181000"/>
                    </a:xfrm>
                    <a:prstGeom prst="rect">
                      <a:avLst/>
                    </a:prstGeom>
                    <a:ln w="3175" cmpd="sng">
                      <a:solidFill>
                        <a:srgbClr val="000000"/>
                      </a:solidFill>
                    </a:ln>
                  </pic:spPr>
                </pic:pic>
              </a:graphicData>
            </a:graphic>
          </wp:inline>
        </w:drawing>
      </w:r>
      <w:r>
        <w:t xml:space="preserve"> «Настройки» — отбор столбцов для отображения.</w:t>
      </w:r>
      <w:bookmarkEnd w:id="2792"/>
    </w:p>
    <w:bookmarkEnd w:id="2795"/>
    <w:p w14:paraId="04C122D1">
      <w:pPr>
        <w:pStyle w:val="60"/>
      </w:pPr>
      <w:bookmarkStart w:id="2799" w:name="_Ref147161945"/>
      <w:bookmarkStart w:id="2800" w:name="_Toc164866516"/>
      <w:bookmarkStart w:id="2801" w:name="_Toc149209632"/>
      <w:bookmarkStart w:id="2802" w:name="_Toc183000164"/>
      <w:bookmarkStart w:id="2803" w:name="_Toc225866376"/>
      <w:r>
        <w:rPr>
          <w:lang w:eastAsia="en-US"/>
        </w:rPr>
        <w:t xml:space="preserve">Просмотр сведений об </w:t>
      </w:r>
      <w:r>
        <w:t>отделениях и кабинет</w:t>
      </w:r>
      <w:bookmarkEnd w:id="2799"/>
      <w:bookmarkEnd w:id="2800"/>
      <w:bookmarkEnd w:id="2801"/>
      <w:bookmarkEnd w:id="2802"/>
      <w:r>
        <w:t>ах</w:t>
      </w:r>
      <w:bookmarkEnd w:id="2803"/>
    </w:p>
    <w:p w14:paraId="43E323F5">
      <w:pPr>
        <w:pStyle w:val="69"/>
      </w:pPr>
      <w:r>
        <w:t xml:space="preserve">Для просмотра </w:t>
      </w:r>
      <w:bookmarkStart w:id="2804" w:name="_Hlk148703010"/>
      <w:r>
        <w:t xml:space="preserve">сведений об отделениях и кабинетах </w:t>
      </w:r>
      <w:bookmarkEnd w:id="2804"/>
      <w:r>
        <w:t>в разделе «Организационно-штатная структура» выбрать вкладку «Отделения и кабинеты».</w:t>
      </w:r>
    </w:p>
    <w:p w14:paraId="733F1D03">
      <w:pPr>
        <w:pStyle w:val="73"/>
      </w:pPr>
      <w:bookmarkStart w:id="2805" w:name="_Hlk205568147"/>
      <w:r>
        <w:drawing>
          <wp:inline distT="0" distB="0" distL="0" distR="0">
            <wp:extent cx="6119495" cy="802640"/>
            <wp:effectExtent l="19050" t="19050" r="14605" b="16510"/>
            <wp:docPr id="9628531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53131" name="Рисунок 1"/>
                    <pic:cNvPicPr>
                      <a:picLocks noChangeAspect="1"/>
                    </pic:cNvPicPr>
                  </pic:nvPicPr>
                  <pic:blipFill>
                    <a:blip r:embed="rId227"/>
                    <a:stretch>
                      <a:fillRect/>
                    </a:stretch>
                  </pic:blipFill>
                  <pic:spPr>
                    <a:xfrm>
                      <a:off x="0" y="0"/>
                      <a:ext cx="6119495" cy="802640"/>
                    </a:xfrm>
                    <a:prstGeom prst="rect">
                      <a:avLst/>
                    </a:prstGeom>
                    <a:ln w="3175" cmpd="sng">
                      <a:solidFill>
                        <a:srgbClr val="000000"/>
                      </a:solidFill>
                    </a:ln>
                  </pic:spPr>
                </pic:pic>
              </a:graphicData>
            </a:graphic>
          </wp:inline>
        </w:drawing>
      </w:r>
    </w:p>
    <w:p w14:paraId="5748DF5E">
      <w:pPr>
        <w:pStyle w:val="74"/>
      </w:pPr>
      <w:bookmarkStart w:id="2806" w:name="_Ref205568483"/>
      <w:r>
        <w:t xml:space="preserve">Рисунок </w:t>
      </w:r>
      <w:r>
        <w:fldChar w:fldCharType="begin"/>
      </w:r>
      <w:r>
        <w:instrText xml:space="preserve"> SEQ Рисунок \* ARABIC </w:instrText>
      </w:r>
      <w:r>
        <w:fldChar w:fldCharType="separate"/>
      </w:r>
      <w:r>
        <w:t>194</w:t>
      </w:r>
      <w:r>
        <w:fldChar w:fldCharType="end"/>
      </w:r>
      <w:bookmarkEnd w:id="2806"/>
      <w:r>
        <w:t xml:space="preserve"> — Раздел «Организационно-штатная структура». Подраздел «Отделения и кабинеты»</w:t>
      </w:r>
    </w:p>
    <w:p w14:paraId="088911D0">
      <w:pPr>
        <w:pStyle w:val="69"/>
      </w:pPr>
      <w:r>
        <w:t>В панели «Фильтр» ввести требуемые значения и нажать «Найти». Отметка «Показать только ГМО» позволяет отобрать только головные медицинские организации.</w:t>
      </w:r>
    </w:p>
    <w:p w14:paraId="0D7D140F">
      <w:pPr>
        <w:pStyle w:val="73"/>
      </w:pPr>
      <w:r>
        <w:drawing>
          <wp:inline distT="0" distB="0" distL="0" distR="0">
            <wp:extent cx="3383915" cy="2057400"/>
            <wp:effectExtent l="19050" t="19050" r="26035" b="19050"/>
            <wp:docPr id="21242040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04053" name="Рисунок 1"/>
                    <pic:cNvPicPr>
                      <a:picLocks noChangeAspect="1"/>
                    </pic:cNvPicPr>
                  </pic:nvPicPr>
                  <pic:blipFill>
                    <a:blip r:embed="rId225"/>
                    <a:stretch>
                      <a:fillRect/>
                    </a:stretch>
                  </pic:blipFill>
                  <pic:spPr>
                    <a:xfrm>
                      <a:off x="0" y="0"/>
                      <a:ext cx="3384000" cy="2057832"/>
                    </a:xfrm>
                    <a:prstGeom prst="rect">
                      <a:avLst/>
                    </a:prstGeom>
                    <a:ln w="3175" cmpd="sng">
                      <a:solidFill>
                        <a:srgbClr val="000000"/>
                      </a:solidFill>
                    </a:ln>
                  </pic:spPr>
                </pic:pic>
              </a:graphicData>
            </a:graphic>
          </wp:inline>
        </w:drawing>
      </w:r>
    </w:p>
    <w:p w14:paraId="12773F78">
      <w:pPr>
        <w:pStyle w:val="74"/>
      </w:pPr>
      <w:r>
        <w:t xml:space="preserve">Рисунок </w:t>
      </w:r>
      <w:r>
        <w:fldChar w:fldCharType="begin"/>
      </w:r>
      <w:r>
        <w:instrText xml:space="preserve"> SEQ Рисунок \* ARABIC </w:instrText>
      </w:r>
      <w:r>
        <w:fldChar w:fldCharType="separate"/>
      </w:r>
      <w:r>
        <w:t>195</w:t>
      </w:r>
      <w:r>
        <w:fldChar w:fldCharType="end"/>
      </w:r>
      <w:r>
        <w:t xml:space="preserve"> — Фильтр подраздела «Отделения и кабинеты»</w:t>
      </w:r>
    </w:p>
    <w:p w14:paraId="2E998932">
      <w:pPr>
        <w:pStyle w:val="69"/>
      </w:pPr>
    </w:p>
    <w:p w14:paraId="3B52446D">
      <w:pPr>
        <w:pStyle w:val="69"/>
      </w:pPr>
      <w:r>
        <w:t xml:space="preserve">В рабочей области отобразится список отделений и кабинетов, входящих в состав выбранной МО (рис. </w:t>
      </w:r>
      <w:r>
        <w:fldChar w:fldCharType="begin"/>
      </w:r>
      <w:r>
        <w:instrText xml:space="preserve"> REF  _Ref148701879 \h\#\0   \* MERGEFORMAT </w:instrText>
      </w:r>
      <w:r>
        <w:fldChar w:fldCharType="separate"/>
      </w:r>
      <w:r>
        <w:t>196</w:t>
      </w:r>
      <w:r>
        <w:fldChar w:fldCharType="end"/>
      </w:r>
      <w:r>
        <w:t>).</w:t>
      </w:r>
    </w:p>
    <w:bookmarkEnd w:id="2805"/>
    <w:p w14:paraId="162E3CCB">
      <w:pPr>
        <w:pStyle w:val="73"/>
      </w:pPr>
      <w:r>
        <w:drawing>
          <wp:inline distT="0" distB="0" distL="0" distR="0">
            <wp:extent cx="6119495" cy="3289300"/>
            <wp:effectExtent l="19050" t="19050" r="14605" b="25400"/>
            <wp:docPr id="8374294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429497" name="Рисунок 1"/>
                    <pic:cNvPicPr>
                      <a:picLocks noChangeAspect="1"/>
                    </pic:cNvPicPr>
                  </pic:nvPicPr>
                  <pic:blipFill>
                    <a:blip r:embed="rId228"/>
                    <a:stretch>
                      <a:fillRect/>
                    </a:stretch>
                  </pic:blipFill>
                  <pic:spPr>
                    <a:xfrm>
                      <a:off x="0" y="0"/>
                      <a:ext cx="6119495" cy="3289300"/>
                    </a:xfrm>
                    <a:prstGeom prst="rect">
                      <a:avLst/>
                    </a:prstGeom>
                    <a:ln w="3175" cmpd="sng">
                      <a:solidFill>
                        <a:srgbClr val="000000"/>
                      </a:solidFill>
                    </a:ln>
                  </pic:spPr>
                </pic:pic>
              </a:graphicData>
            </a:graphic>
          </wp:inline>
        </w:drawing>
      </w:r>
    </w:p>
    <w:p w14:paraId="528738D1">
      <w:pPr>
        <w:pStyle w:val="74"/>
      </w:pPr>
      <w:bookmarkStart w:id="2807" w:name="_Ref148701879"/>
      <w:r>
        <w:t xml:space="preserve">Рисунок </w:t>
      </w:r>
      <w:r>
        <w:fldChar w:fldCharType="begin"/>
      </w:r>
      <w:r>
        <w:instrText xml:space="preserve"> SEQ Рисунок \* ARABIC </w:instrText>
      </w:r>
      <w:r>
        <w:fldChar w:fldCharType="separate"/>
      </w:r>
      <w:r>
        <w:t>196</w:t>
      </w:r>
      <w:r>
        <w:fldChar w:fldCharType="end"/>
      </w:r>
      <w:bookmarkEnd w:id="2807"/>
      <w:r>
        <w:t xml:space="preserve"> — </w:t>
      </w:r>
      <w:bookmarkStart w:id="2808" w:name="_Hlk183081848"/>
      <w:r>
        <w:t>Раздел «Организационно-штатная структура». Подраздел «Отделения и кабинеты»</w:t>
      </w:r>
      <w:bookmarkEnd w:id="2808"/>
    </w:p>
    <w:p w14:paraId="7E7DCFB7">
      <w:pPr>
        <w:pStyle w:val="69"/>
      </w:pPr>
      <w:r>
        <w:t>Табличная часть содержит основные данные в столбцах:</w:t>
      </w:r>
    </w:p>
    <w:p w14:paraId="1DFCDCF0">
      <w:pPr>
        <w:pStyle w:val="76"/>
      </w:pPr>
      <w:bookmarkStart w:id="2809" w:name="_Hlk205568785"/>
      <w:r>
        <w:t>«Тип записи» — наименование типа: отделение или кабинет;</w:t>
      </w:r>
    </w:p>
    <w:p w14:paraId="08B4B743">
      <w:pPr>
        <w:pStyle w:val="76"/>
      </w:pPr>
      <w:r>
        <w:t>«</w:t>
      </w:r>
      <w:r>
        <w:rPr>
          <w:lang w:val="en-US"/>
        </w:rPr>
        <w:t>OID</w:t>
      </w:r>
      <w:r>
        <w:t xml:space="preserve"> отделения/кабинета» — код отделения/кабинета по справочнику ФРМО;</w:t>
      </w:r>
    </w:p>
    <w:p w14:paraId="17E7312D">
      <w:pPr>
        <w:pStyle w:val="76"/>
      </w:pPr>
      <w:r>
        <w:t>«Тип отделения/кабинета» — наименование отделения/кабинета по справочнику ФРМО;</w:t>
      </w:r>
    </w:p>
    <w:p w14:paraId="175879BF">
      <w:pPr>
        <w:pStyle w:val="76"/>
      </w:pPr>
      <w:r>
        <w:t>«Категория пациентов» — наименование категории по справочнику ФРМО. Возможные варианты:</w:t>
      </w:r>
    </w:p>
    <w:p w14:paraId="390261E0">
      <w:pPr>
        <w:pStyle w:val="78"/>
      </w:pPr>
      <w:r>
        <w:t>«Дети»;</w:t>
      </w:r>
    </w:p>
    <w:p w14:paraId="73C78E8D">
      <w:pPr>
        <w:pStyle w:val="78"/>
      </w:pPr>
      <w:r>
        <w:t>«Взрослые»;</w:t>
      </w:r>
    </w:p>
    <w:p w14:paraId="1B5648CB">
      <w:pPr>
        <w:pStyle w:val="78"/>
      </w:pPr>
      <w:r>
        <w:t>«Общие»;</w:t>
      </w:r>
    </w:p>
    <w:p w14:paraId="22097A97">
      <w:pPr>
        <w:pStyle w:val="76"/>
      </w:pPr>
      <w:r>
        <w:t>«</w:t>
      </w:r>
      <w:r>
        <w:rPr>
          <w:lang w:val="en-US"/>
        </w:rPr>
        <w:t>OID</w:t>
      </w:r>
      <w:r>
        <w:t xml:space="preserve"> СП» — </w:t>
      </w:r>
      <w:bookmarkStart w:id="2810" w:name="_Hlk214622714"/>
      <w:r>
        <w:t>код структурного подразделения по справочнику ФРМО</w:t>
      </w:r>
      <w:bookmarkEnd w:id="2810"/>
      <w:r>
        <w:t>;</w:t>
      </w:r>
    </w:p>
    <w:p w14:paraId="60B0B265">
      <w:pPr>
        <w:pStyle w:val="76"/>
      </w:pPr>
      <w:r>
        <w:t>«</w:t>
      </w:r>
      <w:r>
        <w:rPr>
          <w:lang w:val="en-US"/>
        </w:rPr>
        <w:t>OID</w:t>
      </w:r>
      <w:r>
        <w:t xml:space="preserve"> МО» — </w:t>
      </w:r>
      <w:bookmarkStart w:id="2811" w:name="_Hlk214629470"/>
      <w:r>
        <w:t>код МО по справочнику ФРМО</w:t>
      </w:r>
      <w:bookmarkEnd w:id="2811"/>
      <w:r>
        <w:t>;</w:t>
      </w:r>
    </w:p>
    <w:p w14:paraId="2FF60875">
      <w:pPr>
        <w:pStyle w:val="76"/>
      </w:pPr>
      <w:r>
        <w:t>«Настройки» — отбор столбцов для отображения.</w:t>
      </w:r>
    </w:p>
    <w:bookmarkEnd w:id="2809"/>
    <w:p w14:paraId="0CAF4C72">
      <w:pPr>
        <w:pStyle w:val="60"/>
      </w:pPr>
      <w:bookmarkStart w:id="2812" w:name="_Ref148710946"/>
      <w:bookmarkStart w:id="2813" w:name="_Toc149209629"/>
      <w:bookmarkStart w:id="2814" w:name="_Ref182996243"/>
      <w:bookmarkStart w:id="2815" w:name="_Toc164866513"/>
      <w:bookmarkStart w:id="2816" w:name="_Toc183000165"/>
      <w:bookmarkStart w:id="2817" w:name="_Toc225866377"/>
      <w:r>
        <w:rPr>
          <w:lang w:eastAsia="en-US"/>
        </w:rPr>
        <w:t xml:space="preserve">Просмотр сведений о </w:t>
      </w:r>
      <w:r>
        <w:t>занятост</w:t>
      </w:r>
      <w:bookmarkEnd w:id="2812"/>
      <w:bookmarkEnd w:id="2813"/>
      <w:bookmarkEnd w:id="2814"/>
      <w:bookmarkEnd w:id="2815"/>
      <w:bookmarkEnd w:id="2816"/>
      <w:r>
        <w:t>и медицинских работников</w:t>
      </w:r>
      <w:bookmarkEnd w:id="2817"/>
    </w:p>
    <w:p w14:paraId="3C146005">
      <w:pPr>
        <w:pStyle w:val="69"/>
      </w:pPr>
      <w:r>
        <w:t>Для просмотра сведений о занятости в разделе «Организационно-штатная структура» выбрать вкладку «Занятость».</w:t>
      </w:r>
    </w:p>
    <w:p w14:paraId="7471853F">
      <w:pPr>
        <w:pStyle w:val="73"/>
      </w:pPr>
      <w:r>
        <w:drawing>
          <wp:inline distT="0" distB="0" distL="0" distR="0">
            <wp:extent cx="6119495" cy="784860"/>
            <wp:effectExtent l="19050" t="19050" r="14605" b="15240"/>
            <wp:docPr id="5659038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03866" name="Рисунок 1"/>
                    <pic:cNvPicPr>
                      <a:picLocks noChangeAspect="1"/>
                    </pic:cNvPicPr>
                  </pic:nvPicPr>
                  <pic:blipFill>
                    <a:blip r:embed="rId229"/>
                    <a:stretch>
                      <a:fillRect/>
                    </a:stretch>
                  </pic:blipFill>
                  <pic:spPr>
                    <a:xfrm>
                      <a:off x="0" y="0"/>
                      <a:ext cx="6119495" cy="784860"/>
                    </a:xfrm>
                    <a:prstGeom prst="rect">
                      <a:avLst/>
                    </a:prstGeom>
                    <a:ln w="3175" cmpd="sng">
                      <a:solidFill>
                        <a:srgbClr val="000000"/>
                      </a:solidFill>
                    </a:ln>
                  </pic:spPr>
                </pic:pic>
              </a:graphicData>
            </a:graphic>
          </wp:inline>
        </w:drawing>
      </w:r>
    </w:p>
    <w:p w14:paraId="4211B101">
      <w:pPr>
        <w:pStyle w:val="74"/>
      </w:pPr>
      <w:bookmarkStart w:id="2818" w:name="_Ref205569100"/>
      <w:r>
        <w:t xml:space="preserve">Рисунок </w:t>
      </w:r>
      <w:r>
        <w:fldChar w:fldCharType="begin"/>
      </w:r>
      <w:r>
        <w:instrText xml:space="preserve"> SEQ Рисунок \* ARABIC </w:instrText>
      </w:r>
      <w:r>
        <w:fldChar w:fldCharType="separate"/>
      </w:r>
      <w:r>
        <w:t>197</w:t>
      </w:r>
      <w:r>
        <w:fldChar w:fldCharType="end"/>
      </w:r>
      <w:bookmarkEnd w:id="2818"/>
      <w:r>
        <w:t xml:space="preserve"> — Раздел «Организационно-штатная структура». Подраздел «Занятость».</w:t>
      </w:r>
    </w:p>
    <w:p w14:paraId="4EDEE38F">
      <w:pPr>
        <w:pStyle w:val="69"/>
        <w:rPr>
          <w:rFonts w:eastAsia="Arial Unicode MS"/>
        </w:rPr>
      </w:pPr>
      <w:r>
        <w:t>В панели «Фильтр» ввести требуемые значения и нажать «Найти». Отметка «Показать только ГМО» позволяет отобрать данные только по головной медицинской организации.</w:t>
      </w:r>
    </w:p>
    <w:p w14:paraId="275C339C">
      <w:pPr>
        <w:pStyle w:val="73"/>
      </w:pPr>
      <w:r>
        <w:drawing>
          <wp:inline distT="0" distB="0" distL="0" distR="0">
            <wp:extent cx="3383915" cy="2057400"/>
            <wp:effectExtent l="19050" t="19050" r="26035" b="19050"/>
            <wp:docPr id="11489319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931951" name="Рисунок 1"/>
                    <pic:cNvPicPr>
                      <a:picLocks noChangeAspect="1"/>
                    </pic:cNvPicPr>
                  </pic:nvPicPr>
                  <pic:blipFill>
                    <a:blip r:embed="rId225"/>
                    <a:stretch>
                      <a:fillRect/>
                    </a:stretch>
                  </pic:blipFill>
                  <pic:spPr>
                    <a:xfrm>
                      <a:off x="0" y="0"/>
                      <a:ext cx="3384000" cy="2057832"/>
                    </a:xfrm>
                    <a:prstGeom prst="rect">
                      <a:avLst/>
                    </a:prstGeom>
                    <a:ln w="3175" cmpd="sng">
                      <a:solidFill>
                        <a:srgbClr val="000000"/>
                      </a:solidFill>
                    </a:ln>
                  </pic:spPr>
                </pic:pic>
              </a:graphicData>
            </a:graphic>
          </wp:inline>
        </w:drawing>
      </w:r>
    </w:p>
    <w:p w14:paraId="1734AE7B">
      <w:pPr>
        <w:pStyle w:val="74"/>
      </w:pPr>
      <w:r>
        <w:t xml:space="preserve">Рисунок </w:t>
      </w:r>
      <w:r>
        <w:fldChar w:fldCharType="begin"/>
      </w:r>
      <w:r>
        <w:instrText xml:space="preserve"> SEQ Рисунок \* ARABIC </w:instrText>
      </w:r>
      <w:r>
        <w:fldChar w:fldCharType="separate"/>
      </w:r>
      <w:r>
        <w:t>198</w:t>
      </w:r>
      <w:r>
        <w:fldChar w:fldCharType="end"/>
      </w:r>
      <w:r>
        <w:t xml:space="preserve"> — Фильтр подраздела «Занятость»</w:t>
      </w:r>
    </w:p>
    <w:p w14:paraId="74B478E7">
      <w:pPr>
        <w:pStyle w:val="69"/>
      </w:pPr>
      <w:r>
        <w:rPr>
          <w:rFonts w:eastAsia="Arial Unicode MS"/>
        </w:rPr>
        <w:t>В</w:t>
      </w:r>
      <w:r>
        <w:t xml:space="preserve"> рабочей области отобразится подраздел «Занятость» (рис. </w:t>
      </w:r>
      <w:r>
        <w:fldChar w:fldCharType="begin"/>
      </w:r>
      <w:r>
        <w:instrText xml:space="preserve"> REF  _Ref147227605 \h\#\0   \* MERGEFORMAT </w:instrText>
      </w:r>
      <w:r>
        <w:fldChar w:fldCharType="separate"/>
      </w:r>
      <w:r>
        <w:t>199</w:t>
      </w:r>
      <w:r>
        <w:fldChar w:fldCharType="end"/>
      </w:r>
      <w:r>
        <w:t>).</w:t>
      </w:r>
    </w:p>
    <w:p w14:paraId="4A8F34FF">
      <w:pPr>
        <w:pStyle w:val="73"/>
      </w:pPr>
      <w:r>
        <w:drawing>
          <wp:inline distT="0" distB="0" distL="0" distR="0">
            <wp:extent cx="6119495" cy="3807460"/>
            <wp:effectExtent l="19050" t="19050" r="14605" b="21590"/>
            <wp:docPr id="3191447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44784" name="Рисунок 1"/>
                    <pic:cNvPicPr>
                      <a:picLocks noChangeAspect="1"/>
                    </pic:cNvPicPr>
                  </pic:nvPicPr>
                  <pic:blipFill>
                    <a:blip r:embed="rId230"/>
                    <a:stretch>
                      <a:fillRect/>
                    </a:stretch>
                  </pic:blipFill>
                  <pic:spPr>
                    <a:xfrm>
                      <a:off x="0" y="0"/>
                      <a:ext cx="6119495" cy="3807460"/>
                    </a:xfrm>
                    <a:prstGeom prst="rect">
                      <a:avLst/>
                    </a:prstGeom>
                    <a:ln w="3175" cmpd="sng">
                      <a:solidFill>
                        <a:srgbClr val="000000"/>
                      </a:solidFill>
                    </a:ln>
                  </pic:spPr>
                </pic:pic>
              </a:graphicData>
            </a:graphic>
          </wp:inline>
        </w:drawing>
      </w:r>
    </w:p>
    <w:p w14:paraId="72F0F6DF">
      <w:pPr>
        <w:pStyle w:val="74"/>
      </w:pPr>
      <w:bookmarkStart w:id="2819" w:name="_Ref147227605"/>
      <w:r>
        <w:t xml:space="preserve">Рисунок </w:t>
      </w:r>
      <w:r>
        <w:fldChar w:fldCharType="begin"/>
      </w:r>
      <w:r>
        <w:instrText xml:space="preserve"> SEQ Рисунок \* ARABIC </w:instrText>
      </w:r>
      <w:r>
        <w:fldChar w:fldCharType="separate"/>
      </w:r>
      <w:r>
        <w:t>199</w:t>
      </w:r>
      <w:r>
        <w:fldChar w:fldCharType="end"/>
      </w:r>
      <w:bookmarkEnd w:id="2819"/>
      <w:r>
        <w:t xml:space="preserve"> — Раздел «Организационно-штатная структура». Подраздел «Занятость»</w:t>
      </w:r>
    </w:p>
    <w:p w14:paraId="213BB9DB">
      <w:pPr>
        <w:pStyle w:val="69"/>
      </w:pPr>
      <w:r>
        <w:t>Табличная часть содержит сведения о занятости в столбцах:</w:t>
      </w:r>
    </w:p>
    <w:p w14:paraId="692CD7DF">
      <w:pPr>
        <w:pStyle w:val="76"/>
      </w:pPr>
      <w:bookmarkStart w:id="2820" w:name="_Hlk205569409"/>
      <w:r>
        <w:t>«№ п/п» — порядковый номер записи;</w:t>
      </w:r>
    </w:p>
    <w:p w14:paraId="75FF1836">
      <w:pPr>
        <w:pStyle w:val="76"/>
      </w:pPr>
      <w:r>
        <w:t>«</w:t>
      </w:r>
      <w:r>
        <w:rPr>
          <w:lang w:val="en-US"/>
        </w:rPr>
        <w:t>ID</w:t>
      </w:r>
      <w:r>
        <w:t>» — идентификатор записи занятости в ФРМР;</w:t>
      </w:r>
    </w:p>
    <w:p w14:paraId="5650BBE3">
      <w:pPr>
        <w:pStyle w:val="76"/>
      </w:pPr>
      <w:r>
        <w:t>«Медицинский работник»;</w:t>
      </w:r>
    </w:p>
    <w:p w14:paraId="7244DF6F">
      <w:pPr>
        <w:pStyle w:val="76"/>
      </w:pPr>
      <w:r>
        <w:t>«Должность»;</w:t>
      </w:r>
    </w:p>
    <w:p w14:paraId="4B2E6EA8">
      <w:pPr>
        <w:pStyle w:val="76"/>
      </w:pPr>
      <w:r>
        <w:t>«</w:t>
      </w:r>
      <w:r>
        <w:rPr>
          <w:lang w:val="en-US"/>
        </w:rPr>
        <w:t>OID</w:t>
      </w:r>
      <w:r>
        <w:t xml:space="preserve"> отделения/кабинета»;</w:t>
      </w:r>
    </w:p>
    <w:p w14:paraId="7E82EEA3">
      <w:pPr>
        <w:pStyle w:val="76"/>
      </w:pPr>
      <w:r>
        <w:t>«</w:t>
      </w:r>
      <w:r>
        <w:rPr>
          <w:lang w:val="en-US"/>
        </w:rPr>
        <w:t>OID</w:t>
      </w:r>
      <w:r>
        <w:t xml:space="preserve"> СП» — </w:t>
      </w:r>
      <w:bookmarkStart w:id="2821" w:name="_Hlk214629494"/>
      <w:r>
        <w:t>код структурного подразделения по справочнику ФРМО</w:t>
      </w:r>
      <w:bookmarkEnd w:id="2821"/>
      <w:r>
        <w:t>;</w:t>
      </w:r>
    </w:p>
    <w:p w14:paraId="0009E656">
      <w:pPr>
        <w:pStyle w:val="76"/>
      </w:pPr>
      <w:r>
        <w:t>«</w:t>
      </w:r>
      <w:r>
        <w:rPr>
          <w:lang w:val="en-US"/>
        </w:rPr>
        <w:t>OID</w:t>
      </w:r>
      <w:r>
        <w:t xml:space="preserve"> МО» — </w:t>
      </w:r>
      <w:bookmarkStart w:id="2822" w:name="_Hlk214629509"/>
      <w:r>
        <w:t>код МО по справочнику ФРМО</w:t>
      </w:r>
      <w:bookmarkEnd w:id="2822"/>
      <w:r>
        <w:t>;</w:t>
      </w:r>
    </w:p>
    <w:p w14:paraId="16D610A4">
      <w:pPr>
        <w:pStyle w:val="76"/>
      </w:pPr>
      <w:r>
        <w:t xml:space="preserve">«Дата начала работы по данным ФРМР» </w:t>
      </w:r>
      <w:bookmarkStart w:id="2823" w:name="_Hlk183082560"/>
      <w:r>
        <w:t xml:space="preserve">— сведения о дате начала действия записи о занятости в ФПУМП по данным </w:t>
      </w:r>
      <w:bookmarkEnd w:id="2823"/>
      <w:r>
        <w:t>ФРМР;</w:t>
      </w:r>
    </w:p>
    <w:p w14:paraId="2D491B2E">
      <w:pPr>
        <w:pStyle w:val="76"/>
      </w:pPr>
      <w:r>
        <w:t xml:space="preserve">«Дата окончания работы по данным ФРМР» </w:t>
      </w:r>
      <w:bookmarkStart w:id="2824" w:name="_Hlk183086570"/>
      <w:r>
        <w:t>— сведения о дате окончания действия записи о занятости в ФПУМП по данным мастер ФРМР</w:t>
      </w:r>
      <w:bookmarkEnd w:id="2824"/>
      <w:r>
        <w:t>;</w:t>
      </w:r>
    </w:p>
    <w:p w14:paraId="381E3948">
      <w:pPr>
        <w:pStyle w:val="76"/>
      </w:pPr>
      <w:r>
        <w:drawing>
          <wp:inline distT="0" distB="0" distL="0" distR="0">
            <wp:extent cx="190500" cy="180975"/>
            <wp:effectExtent l="19050" t="19050" r="19050" b="9525"/>
            <wp:docPr id="11756274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627424" name="Рисунок 1"/>
                    <pic:cNvPicPr>
                      <a:picLocks noChangeAspect="1"/>
                    </pic:cNvPicPr>
                  </pic:nvPicPr>
                  <pic:blipFill>
                    <a:blip r:embed="rId43"/>
                    <a:stretch>
                      <a:fillRect/>
                    </a:stretch>
                  </pic:blipFill>
                  <pic:spPr>
                    <a:xfrm>
                      <a:off x="0" y="0"/>
                      <a:ext cx="190527" cy="181000"/>
                    </a:xfrm>
                    <a:prstGeom prst="rect">
                      <a:avLst/>
                    </a:prstGeom>
                    <a:ln w="3175" cmpd="sng">
                      <a:solidFill>
                        <a:srgbClr val="000000"/>
                      </a:solidFill>
                    </a:ln>
                  </pic:spPr>
                </pic:pic>
              </a:graphicData>
            </a:graphic>
          </wp:inline>
        </w:drawing>
      </w:r>
      <w:r>
        <w:t xml:space="preserve"> «Настройки» — отбор столбцов для отображения и </w:t>
      </w:r>
      <w:bookmarkStart w:id="2825" w:name="_Hlk183086709"/>
      <w:r>
        <w:t xml:space="preserve">ссылка перехода в карточку занятости </w:t>
      </w:r>
      <w:r>
        <w:drawing>
          <wp:inline distT="0" distB="0" distL="0" distR="0">
            <wp:extent cx="215900" cy="173990"/>
            <wp:effectExtent l="19050" t="19050" r="12700" b="16510"/>
            <wp:docPr id="18948711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871123" name="Рисунок 1"/>
                    <pic:cNvPicPr>
                      <a:picLocks noChangeAspect="1"/>
                    </pic:cNvPicPr>
                  </pic:nvPicPr>
                  <pic:blipFill>
                    <a:blip r:embed="rId231"/>
                    <a:stretch>
                      <a:fillRect/>
                    </a:stretch>
                  </pic:blipFill>
                  <pic:spPr>
                    <a:xfrm>
                      <a:off x="0" y="0"/>
                      <a:ext cx="216000" cy="174461"/>
                    </a:xfrm>
                    <a:prstGeom prst="rect">
                      <a:avLst/>
                    </a:prstGeom>
                    <a:ln w="3175" cmpd="sng">
                      <a:solidFill>
                        <a:srgbClr val="000000"/>
                      </a:solidFill>
                    </a:ln>
                  </pic:spPr>
                </pic:pic>
              </a:graphicData>
            </a:graphic>
          </wp:inline>
        </w:drawing>
      </w:r>
      <w:bookmarkEnd w:id="2825"/>
      <w:r>
        <w:t>.</w:t>
      </w:r>
    </w:p>
    <w:bookmarkEnd w:id="2820"/>
    <w:p w14:paraId="136900BC">
      <w:pPr>
        <w:pStyle w:val="69"/>
      </w:pPr>
      <w:r>
        <w:t xml:space="preserve">Для просмотра детальных сведений о занятости медицинского работника перейти в карточку занятости, нажав </w:t>
      </w:r>
      <w:r>
        <w:drawing>
          <wp:inline distT="0" distB="0" distL="0" distR="0">
            <wp:extent cx="247650" cy="200025"/>
            <wp:effectExtent l="19050" t="19050" r="19050" b="28575"/>
            <wp:docPr id="3098563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856324" name="Рисунок 1"/>
                    <pic:cNvPicPr>
                      <a:picLocks noChangeAspect="1"/>
                    </pic:cNvPicPr>
                  </pic:nvPicPr>
                  <pic:blipFill>
                    <a:blip r:embed="rId231"/>
                    <a:stretch>
                      <a:fillRect/>
                    </a:stretch>
                  </pic:blipFill>
                  <pic:spPr>
                    <a:xfrm>
                      <a:off x="0" y="0"/>
                      <a:ext cx="247685" cy="200053"/>
                    </a:xfrm>
                    <a:prstGeom prst="rect">
                      <a:avLst/>
                    </a:prstGeom>
                    <a:ln w="3175" cmpd="sng">
                      <a:solidFill>
                        <a:srgbClr val="000000"/>
                      </a:solidFill>
                    </a:ln>
                  </pic:spPr>
                </pic:pic>
              </a:graphicData>
            </a:graphic>
          </wp:inline>
        </w:drawing>
      </w:r>
      <w:r>
        <w:t xml:space="preserve"> в строке записи.</w:t>
      </w:r>
    </w:p>
    <w:p w14:paraId="3E8D4BFD">
      <w:pPr>
        <w:pStyle w:val="69"/>
        <w:keepNext/>
      </w:pPr>
      <w:r>
        <w:t>В карточке занятости сведения сгруппированы на вкладках:</w:t>
      </w:r>
    </w:p>
    <w:p w14:paraId="4DA907FE">
      <w:pPr>
        <w:pStyle w:val="76"/>
        <w:keepNext/>
      </w:pPr>
      <w:r>
        <w:t>«Основное»;</w:t>
      </w:r>
    </w:p>
    <w:p w14:paraId="68A4885E">
      <w:pPr>
        <w:pStyle w:val="76"/>
      </w:pPr>
      <w:r>
        <w:t>«Сертификат»;</w:t>
      </w:r>
    </w:p>
    <w:p w14:paraId="0B1069F9">
      <w:pPr>
        <w:pStyle w:val="76"/>
      </w:pPr>
      <w:r>
        <w:t>«Аккредитация»;</w:t>
      </w:r>
    </w:p>
    <w:p w14:paraId="0FBE378C">
      <w:pPr>
        <w:pStyle w:val="76"/>
      </w:pPr>
      <w:r>
        <w:t>«Услуги»</w:t>
      </w:r>
      <w:r>
        <w:rPr>
          <w:lang w:val="en-US"/>
        </w:rPr>
        <w:t>;</w:t>
      </w:r>
    </w:p>
    <w:p w14:paraId="0F65B148">
      <w:pPr>
        <w:pStyle w:val="76"/>
      </w:pPr>
      <w:r>
        <w:t>«Удостоверение эксперта».</w:t>
      </w:r>
    </w:p>
    <w:p w14:paraId="540D5406">
      <w:pPr>
        <w:pStyle w:val="69"/>
      </w:pPr>
      <w:r>
        <w:t xml:space="preserve">Карточка занятости представлена на рисунке </w:t>
      </w:r>
      <w:r>
        <w:fldChar w:fldCharType="begin"/>
      </w:r>
      <w:r>
        <w:instrText xml:space="preserve"> REF  _Ref202800205 \h\#\0   \* MERGEFORMAT </w:instrText>
      </w:r>
      <w:r>
        <w:fldChar w:fldCharType="separate"/>
      </w:r>
      <w:r>
        <w:t>200</w:t>
      </w:r>
      <w:r>
        <w:fldChar w:fldCharType="end"/>
      </w:r>
      <w:r>
        <w:t>.</w:t>
      </w:r>
    </w:p>
    <w:p w14:paraId="04EC4CA4">
      <w:pPr>
        <w:pStyle w:val="73"/>
      </w:pPr>
      <w:r>
        <w:drawing>
          <wp:inline distT="0" distB="0" distL="0" distR="0">
            <wp:extent cx="3239770" cy="2148840"/>
            <wp:effectExtent l="19050" t="19050" r="17780" b="22860"/>
            <wp:docPr id="1641845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845292" name="Рисунок 1"/>
                    <pic:cNvPicPr>
                      <a:picLocks noChangeAspect="1"/>
                    </pic:cNvPicPr>
                  </pic:nvPicPr>
                  <pic:blipFill>
                    <a:blip r:embed="rId232"/>
                    <a:stretch>
                      <a:fillRect/>
                    </a:stretch>
                  </pic:blipFill>
                  <pic:spPr>
                    <a:xfrm>
                      <a:off x="0" y="0"/>
                      <a:ext cx="3240000" cy="2148981"/>
                    </a:xfrm>
                    <a:prstGeom prst="rect">
                      <a:avLst/>
                    </a:prstGeom>
                    <a:ln w="3175" cmpd="sng">
                      <a:solidFill>
                        <a:srgbClr val="000000"/>
                      </a:solidFill>
                    </a:ln>
                  </pic:spPr>
                </pic:pic>
              </a:graphicData>
            </a:graphic>
          </wp:inline>
        </w:drawing>
      </w:r>
    </w:p>
    <w:p w14:paraId="7844D3D7">
      <w:pPr>
        <w:pStyle w:val="74"/>
      </w:pPr>
      <w:bookmarkStart w:id="2826" w:name="_Ref202800205"/>
      <w:r>
        <w:t xml:space="preserve">Рисунок </w:t>
      </w:r>
      <w:r>
        <w:fldChar w:fldCharType="begin"/>
      </w:r>
      <w:r>
        <w:instrText xml:space="preserve"> SEQ Рисунок \* ARABIC </w:instrText>
      </w:r>
      <w:r>
        <w:fldChar w:fldCharType="separate"/>
      </w:r>
      <w:r>
        <w:t>200</w:t>
      </w:r>
      <w:r>
        <w:fldChar w:fldCharType="end"/>
      </w:r>
      <w:bookmarkEnd w:id="2826"/>
      <w:r>
        <w:t xml:space="preserve"> — Карточка занятости. Основное</w:t>
      </w:r>
    </w:p>
    <w:p w14:paraId="74501A00">
      <w:pPr>
        <w:pStyle w:val="69"/>
      </w:pPr>
      <w:r>
        <w:t>Сведения о занятости:</w:t>
      </w:r>
    </w:p>
    <w:p w14:paraId="40025B0D">
      <w:pPr>
        <w:pStyle w:val="76"/>
      </w:pPr>
      <w:r>
        <w:t xml:space="preserve">«Основное» — основные сведения: номер трудового договора, дата заключения трудового договора, тип должности, должность, дата начала работы, дата окончания работы, признак выдачи льготных рецептов (рис. </w:t>
      </w:r>
      <w:r>
        <w:fldChar w:fldCharType="begin"/>
      </w:r>
      <w:r>
        <w:instrText xml:space="preserve"> REF  _Ref202800205 \h\#\0   \* MERGEFORMAT </w:instrText>
      </w:r>
      <w:r>
        <w:fldChar w:fldCharType="separate"/>
      </w:r>
      <w:r>
        <w:t>200</w:t>
      </w:r>
      <w:r>
        <w:fldChar w:fldCharType="end"/>
      </w:r>
      <w:r>
        <w:t>);</w:t>
      </w:r>
    </w:p>
    <w:p w14:paraId="356BCEAD">
      <w:pPr>
        <w:pStyle w:val="76"/>
      </w:pPr>
      <w:r>
        <w:t>«Сертификат» — основные сведения о сертификате: серия и номер, специальность, дата сдачи экзамена, образовательное учреждение, дата выдачи, дата окончания действия (рис. </w:t>
      </w:r>
      <w:r>
        <w:fldChar w:fldCharType="begin"/>
      </w:r>
      <w:r>
        <w:instrText xml:space="preserve"> REF  _Ref133509970 \h\#\0   \* MERGEFORMAT </w:instrText>
      </w:r>
      <w:r>
        <w:fldChar w:fldCharType="separate"/>
      </w:r>
      <w:r>
        <w:t>201</w:t>
      </w:r>
      <w:r>
        <w:fldChar w:fldCharType="end"/>
      </w:r>
      <w:r>
        <w:t>);</w:t>
      </w:r>
    </w:p>
    <w:p w14:paraId="0BC1E14B">
      <w:pPr>
        <w:pStyle w:val="73"/>
      </w:pPr>
      <w:r>
        <w:drawing>
          <wp:inline distT="0" distB="0" distL="0" distR="0">
            <wp:extent cx="3255645" cy="2072640"/>
            <wp:effectExtent l="19050" t="19050" r="20955" b="22860"/>
            <wp:docPr id="20728441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844130" name="Рисунок 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3255645" cy="2072640"/>
                    </a:xfrm>
                    <a:prstGeom prst="rect">
                      <a:avLst/>
                    </a:prstGeom>
                    <a:noFill/>
                    <a:ln w="3175" cmpd="sng">
                      <a:solidFill>
                        <a:srgbClr val="000000"/>
                      </a:solidFill>
                    </a:ln>
                  </pic:spPr>
                </pic:pic>
              </a:graphicData>
            </a:graphic>
          </wp:inline>
        </w:drawing>
      </w:r>
    </w:p>
    <w:p w14:paraId="27EC9FA3">
      <w:pPr>
        <w:pStyle w:val="74"/>
      </w:pPr>
      <w:bookmarkStart w:id="2827" w:name="_Ref133509970"/>
      <w:r>
        <w:t xml:space="preserve">Рисунок </w:t>
      </w:r>
      <w:r>
        <w:fldChar w:fldCharType="begin"/>
      </w:r>
      <w:r>
        <w:instrText xml:space="preserve"> SEQ Рисунок \* ARABIC </w:instrText>
      </w:r>
      <w:r>
        <w:fldChar w:fldCharType="separate"/>
      </w:r>
      <w:r>
        <w:t>201</w:t>
      </w:r>
      <w:r>
        <w:fldChar w:fldCharType="end"/>
      </w:r>
      <w:bookmarkEnd w:id="2827"/>
      <w:r>
        <w:t xml:space="preserve"> — Карточка занятости. Сертификат</w:t>
      </w:r>
    </w:p>
    <w:p w14:paraId="03E48B3B">
      <w:pPr>
        <w:pStyle w:val="76"/>
      </w:pPr>
      <w:r>
        <w:t>«Аккредитация» — основные сведения об аккредитации: вид аккредитации, специальность, стандарт, образовательное учреждение, дата проведения, срок действия (рис. </w:t>
      </w:r>
      <w:r>
        <w:fldChar w:fldCharType="begin"/>
      </w:r>
      <w:r>
        <w:instrText xml:space="preserve"> REF  _Ref133571674 \h\#\0   \* MERGEFORMAT </w:instrText>
      </w:r>
      <w:r>
        <w:fldChar w:fldCharType="separate"/>
      </w:r>
      <w:r>
        <w:t>202</w:t>
      </w:r>
      <w:r>
        <w:fldChar w:fldCharType="end"/>
      </w:r>
      <w:r>
        <w:t>);</w:t>
      </w:r>
    </w:p>
    <w:p w14:paraId="76B29E7C">
      <w:pPr>
        <w:pStyle w:val="73"/>
      </w:pPr>
      <w:r>
        <w:drawing>
          <wp:inline distT="0" distB="0" distL="0" distR="0">
            <wp:extent cx="3239135" cy="1736090"/>
            <wp:effectExtent l="19050" t="19050" r="18415" b="16510"/>
            <wp:docPr id="2229644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964434" name="Рисунок 1"/>
                    <pic:cNvPicPr>
                      <a:picLocks noChangeAspect="1"/>
                    </pic:cNvPicPr>
                  </pic:nvPicPr>
                  <pic:blipFill>
                    <a:blip r:embed="rId234"/>
                    <a:srcRect b="5696"/>
                    <a:stretch>
                      <a:fillRect/>
                    </a:stretch>
                  </pic:blipFill>
                  <pic:spPr>
                    <a:xfrm>
                      <a:off x="0" y="0"/>
                      <a:ext cx="3240000" cy="1736937"/>
                    </a:xfrm>
                    <a:prstGeom prst="rect">
                      <a:avLst/>
                    </a:prstGeom>
                    <a:ln w="3175" cap="flat" cmpd="sng" algn="ctr">
                      <a:solidFill>
                        <a:srgbClr val="000000"/>
                      </a:solidFill>
                      <a:prstDash val="solid"/>
                      <a:round/>
                      <a:headEnd type="none" w="med" len="med"/>
                      <a:tailEnd type="none" w="med" len="med"/>
                    </a:ln>
                  </pic:spPr>
                </pic:pic>
              </a:graphicData>
            </a:graphic>
          </wp:inline>
        </w:drawing>
      </w:r>
    </w:p>
    <w:p w14:paraId="3D76F51B">
      <w:pPr>
        <w:pStyle w:val="74"/>
        <w:rPr>
          <w:lang w:val="en-US"/>
        </w:rPr>
      </w:pPr>
      <w:bookmarkStart w:id="2828" w:name="_Ref133571674"/>
      <w:r>
        <w:t xml:space="preserve">Рисунок </w:t>
      </w:r>
      <w:r>
        <w:fldChar w:fldCharType="begin"/>
      </w:r>
      <w:r>
        <w:instrText xml:space="preserve"> SEQ Рисунок \* ARABIC </w:instrText>
      </w:r>
      <w:r>
        <w:fldChar w:fldCharType="separate"/>
      </w:r>
      <w:r>
        <w:t>202</w:t>
      </w:r>
      <w:r>
        <w:fldChar w:fldCharType="end"/>
      </w:r>
      <w:bookmarkEnd w:id="2828"/>
      <w:r>
        <w:t xml:space="preserve"> — Карточка занятости. Аккредитация</w:t>
      </w:r>
    </w:p>
    <w:p w14:paraId="1741C018">
      <w:pPr>
        <w:pStyle w:val="76"/>
      </w:pPr>
      <w:r>
        <w:t xml:space="preserve">«Услуги» — сведения о медицинских услугах (код и наименование по справочнику ФРМР), которые может оказывать медицинский работник (рис. </w:t>
      </w:r>
      <w:r>
        <w:fldChar w:fldCharType="begin"/>
      </w:r>
      <w:r>
        <w:instrText xml:space="preserve"> REF  _Ref183092291 \h \t\#\0 \* MERGEFORMAT </w:instrText>
      </w:r>
      <w:r>
        <w:fldChar w:fldCharType="separate"/>
      </w:r>
      <w:r>
        <w:t>203</w:t>
      </w:r>
      <w:r>
        <w:fldChar w:fldCharType="end"/>
      </w:r>
      <w:r>
        <w:t>);</w:t>
      </w:r>
    </w:p>
    <w:p w14:paraId="6F1125D7">
      <w:pPr>
        <w:pStyle w:val="73"/>
      </w:pPr>
      <w:bookmarkStart w:id="2829" w:name="_Hlk183082844"/>
      <w:r>
        <w:drawing>
          <wp:inline distT="0" distB="0" distL="0" distR="0">
            <wp:extent cx="3238500" cy="1143635"/>
            <wp:effectExtent l="19050" t="19050" r="19050" b="18415"/>
            <wp:docPr id="2173300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330072" name="Рисунок 1"/>
                    <pic:cNvPicPr>
                      <a:picLocks noChangeAspect="1"/>
                    </pic:cNvPicPr>
                  </pic:nvPicPr>
                  <pic:blipFill>
                    <a:blip r:embed="rId235"/>
                    <a:srcRect b="9372"/>
                    <a:stretch>
                      <a:fillRect/>
                    </a:stretch>
                  </pic:blipFill>
                  <pic:spPr>
                    <a:xfrm>
                      <a:off x="0" y="0"/>
                      <a:ext cx="3240000" cy="1144420"/>
                    </a:xfrm>
                    <a:prstGeom prst="rect">
                      <a:avLst/>
                    </a:prstGeom>
                    <a:ln w="3175" cap="flat" cmpd="sng" algn="ctr">
                      <a:solidFill>
                        <a:srgbClr val="000000"/>
                      </a:solidFill>
                      <a:prstDash val="solid"/>
                      <a:round/>
                      <a:headEnd type="none" w="med" len="med"/>
                      <a:tailEnd type="none" w="med" len="med"/>
                    </a:ln>
                  </pic:spPr>
                </pic:pic>
              </a:graphicData>
            </a:graphic>
          </wp:inline>
        </w:drawing>
      </w:r>
    </w:p>
    <w:p w14:paraId="7FE5A94E">
      <w:pPr>
        <w:pStyle w:val="74"/>
      </w:pPr>
      <w:bookmarkStart w:id="2830" w:name="_Ref183092291"/>
      <w:r>
        <w:t xml:space="preserve">Рисунок </w:t>
      </w:r>
      <w:r>
        <w:fldChar w:fldCharType="begin"/>
      </w:r>
      <w:r>
        <w:instrText xml:space="preserve"> SEQ Рисунок \* ARABIC </w:instrText>
      </w:r>
      <w:r>
        <w:fldChar w:fldCharType="separate"/>
      </w:r>
      <w:r>
        <w:t>203</w:t>
      </w:r>
      <w:r>
        <w:fldChar w:fldCharType="end"/>
      </w:r>
      <w:r>
        <w:t xml:space="preserve"> — Карточка занятости. Услуги</w:t>
      </w:r>
      <w:bookmarkEnd w:id="2830"/>
    </w:p>
    <w:bookmarkEnd w:id="2829"/>
    <w:p w14:paraId="71BE1BBD">
      <w:pPr>
        <w:pStyle w:val="76"/>
      </w:pPr>
      <w:r>
        <w:t xml:space="preserve">«Удостоверение эксперта» (при наличии) — основные сведения: серия и номер удостоверения, образовательное учреждение, специальность, дата выдачи и дата окончания действия удостоверения (рис. </w:t>
      </w:r>
      <w:r>
        <w:fldChar w:fldCharType="begin"/>
      </w:r>
      <w:r>
        <w:instrText xml:space="preserve"> REF  _Ref148709578 \h\#\0   \* MERGEFORMAT </w:instrText>
      </w:r>
      <w:r>
        <w:fldChar w:fldCharType="separate"/>
      </w:r>
      <w:r>
        <w:t>204</w:t>
      </w:r>
      <w:r>
        <w:fldChar w:fldCharType="end"/>
      </w:r>
      <w:r>
        <w:t>).</w:t>
      </w:r>
    </w:p>
    <w:p w14:paraId="6E027171">
      <w:pPr>
        <w:pStyle w:val="73"/>
      </w:pPr>
      <w:r>
        <w:drawing>
          <wp:inline distT="0" distB="0" distL="0" distR="0">
            <wp:extent cx="3239770" cy="1569720"/>
            <wp:effectExtent l="19050" t="19050" r="17780" b="11430"/>
            <wp:docPr id="10514107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10748" name="Рисунок 1"/>
                    <pic:cNvPicPr>
                      <a:picLocks noChangeAspect="1"/>
                    </pic:cNvPicPr>
                  </pic:nvPicPr>
                  <pic:blipFill>
                    <a:blip r:embed="rId236"/>
                    <a:stretch>
                      <a:fillRect/>
                    </a:stretch>
                  </pic:blipFill>
                  <pic:spPr>
                    <a:xfrm>
                      <a:off x="0" y="0"/>
                      <a:ext cx="3240000" cy="1570155"/>
                    </a:xfrm>
                    <a:prstGeom prst="rect">
                      <a:avLst/>
                    </a:prstGeom>
                    <a:ln w="3175" cmpd="sng">
                      <a:solidFill>
                        <a:srgbClr val="000000"/>
                      </a:solidFill>
                    </a:ln>
                  </pic:spPr>
                </pic:pic>
              </a:graphicData>
            </a:graphic>
          </wp:inline>
        </w:drawing>
      </w:r>
    </w:p>
    <w:p w14:paraId="6EC6F4C2">
      <w:pPr>
        <w:pStyle w:val="74"/>
      </w:pPr>
      <w:bookmarkStart w:id="2831" w:name="_Ref148709578"/>
      <w:r>
        <w:t xml:space="preserve">Рисунок </w:t>
      </w:r>
      <w:r>
        <w:fldChar w:fldCharType="begin"/>
      </w:r>
      <w:r>
        <w:instrText xml:space="preserve"> SEQ Рисунок \* ARABIC </w:instrText>
      </w:r>
      <w:r>
        <w:fldChar w:fldCharType="separate"/>
      </w:r>
      <w:r>
        <w:t>204</w:t>
      </w:r>
      <w:r>
        <w:fldChar w:fldCharType="end"/>
      </w:r>
      <w:bookmarkEnd w:id="2831"/>
      <w:r>
        <w:t xml:space="preserve"> — Карточка занятости. Удостоверение эксперта</w:t>
      </w:r>
    </w:p>
    <w:p w14:paraId="4D24FD2E">
      <w:pPr>
        <w:pStyle w:val="58"/>
      </w:pPr>
      <w:bookmarkStart w:id="2832" w:name="_Ref195107557"/>
      <w:bookmarkStart w:id="2833" w:name="_Ref214645965"/>
      <w:bookmarkStart w:id="2834" w:name="_Toc225866378"/>
      <w:bookmarkStart w:id="2835" w:name="_Hlk205570693"/>
      <w:r>
        <w:t>Формирование и просмотр отчетов</w:t>
      </w:r>
      <w:bookmarkEnd w:id="2832"/>
      <w:r>
        <w:t xml:space="preserve"> по фактически оказанным объемам медицинской помощи</w:t>
      </w:r>
      <w:bookmarkEnd w:id="2833"/>
      <w:bookmarkEnd w:id="2834"/>
    </w:p>
    <w:p w14:paraId="60E66C63">
      <w:pPr>
        <w:pStyle w:val="69"/>
      </w:pPr>
      <w:r>
        <w:t>Доступность операций по формированию и просмотру отчетов по фактически оказанным объемам медицинской помощи определяется правами доступа, установленными для конкретного пользователя (роли пользователя).</w:t>
      </w:r>
    </w:p>
    <w:p w14:paraId="1C1EC7F0">
      <w:pPr>
        <w:pStyle w:val="69"/>
      </w:pPr>
      <w:r>
        <w:t>Сотруднику ТФОМС с ролью Плательщик ТФОМС доступны операции по инициации формирования следующих отчетов по счетам ТФОМС как плательщика:</w:t>
      </w:r>
    </w:p>
    <w:p w14:paraId="63E902EC">
      <w:pPr>
        <w:pStyle w:val="76"/>
      </w:pPr>
      <w:r>
        <w:t>Отчет Факт за месяц;</w:t>
      </w:r>
    </w:p>
    <w:p w14:paraId="7D221589">
      <w:pPr>
        <w:pStyle w:val="76"/>
      </w:pPr>
      <w:r>
        <w:t>Отчет План-факт;</w:t>
      </w:r>
    </w:p>
    <w:p w14:paraId="00A9FED3">
      <w:pPr>
        <w:pStyle w:val="76"/>
      </w:pPr>
      <w:r>
        <w:t>Отчеты по Приказам ФОМС.</w:t>
      </w:r>
    </w:p>
    <w:p w14:paraId="4AEF07F2">
      <w:pPr>
        <w:pStyle w:val="69"/>
      </w:pPr>
      <w:r>
        <w:t>Виды сведений в отчетах, формируемых по приказам ФОМС:</w:t>
      </w:r>
    </w:p>
    <w:p w14:paraId="4F10BDE2">
      <w:pPr>
        <w:pStyle w:val="75"/>
        <w:numPr>
          <w:ilvl w:val="0"/>
          <w:numId w:val="29"/>
        </w:numPr>
      </w:pPr>
      <w:r>
        <w:t>сведения об объеме и стоимости медицинской помощи, оказанной медицинскими организациями, подведомственными федеральным органам исполнительной власти в системе обязательного медицинского страхования (согласно Приказу ФОМС от 25.02.2014 № 15, далее — Приказ 15);</w:t>
      </w:r>
    </w:p>
    <w:p w14:paraId="50516151">
      <w:pPr>
        <w:pStyle w:val="75"/>
      </w:pPr>
      <w:r>
        <w:t>сведения об объеме и стоимости высокотехнологичной медицинской помощи, оказанной медицинскими организациями, осуществляющими деятельность в сфере обязательного медицинского страхования (согласно Приказу ФОМС от 26.02.2014 № 17, далее — Приказ 17);</w:t>
      </w:r>
    </w:p>
    <w:p w14:paraId="5D0F2E93">
      <w:pPr>
        <w:pStyle w:val="75"/>
      </w:pPr>
      <w:r>
        <w:t>сведения об оплате медицинской помощи на основе клинико-статистических групп заболеваний и при оказании услуг диализа (согласно Приказу ФОМС от 24.02.2016 № 23, далее — Приказ 23);</w:t>
      </w:r>
    </w:p>
    <w:p w14:paraId="2A7AA88D">
      <w:pPr>
        <w:pStyle w:val="75"/>
      </w:pPr>
      <w:r>
        <w:t>сведения о случаях оказания медицинской помощи и результатах экспертизы качества медицинской помощи (согласно Приказу ФОМС от 04.06.2018 № 104, далее — Приказ 104);</w:t>
      </w:r>
    </w:p>
    <w:p w14:paraId="49C227DF">
      <w:pPr>
        <w:pStyle w:val="75"/>
      </w:pPr>
      <w:r>
        <w:t>сведения об объеме и стоимости медицинской помощи пациентам с онкологическими заболеваниями, оказанной медицинскими организациями, осуществляющими деятельность в сфере здравоохранения (согласно Приказу ФОМС от 29.11.2018 № 260, далее — Приказ 260).</w:t>
      </w:r>
    </w:p>
    <w:p w14:paraId="63880B86">
      <w:pPr>
        <w:pStyle w:val="60"/>
      </w:pPr>
      <w:bookmarkStart w:id="2836" w:name="_Ref195181729"/>
      <w:bookmarkStart w:id="2837" w:name="_Toc225866379"/>
      <w:r>
        <w:t>Поиск и просмотр сформированных отчетов</w:t>
      </w:r>
      <w:bookmarkEnd w:id="2836"/>
      <w:r>
        <w:t xml:space="preserve"> «План-Факт» и «Факт за месяц»</w:t>
      </w:r>
      <w:bookmarkEnd w:id="2837"/>
    </w:p>
    <w:p w14:paraId="04C2AA2C">
      <w:pPr>
        <w:pStyle w:val="69"/>
      </w:pPr>
      <w:bookmarkStart w:id="2838" w:name="_Hlk202461834"/>
      <w:r>
        <w:t>Плательщику ТФОМС и Куратору по МО доступен просмотр отчетов «План-Факт» и «Факт за месяц» по</w:t>
      </w:r>
      <w:r>
        <w:rPr>
          <w:lang w:val="en-US"/>
        </w:rPr>
        <w:t> </w:t>
      </w:r>
      <w:r>
        <w:t>МО в зоне ответственности.</w:t>
      </w:r>
    </w:p>
    <w:p w14:paraId="72BBA748">
      <w:pPr>
        <w:pStyle w:val="69"/>
      </w:pPr>
      <w:r>
        <w:t>Куратору по СМО доступен просмотр только отчетов «План-факт».</w:t>
      </w:r>
    </w:p>
    <w:bookmarkEnd w:id="2838"/>
    <w:p w14:paraId="59773B86">
      <w:pPr>
        <w:pStyle w:val="69"/>
      </w:pPr>
      <w:r>
        <w:t>Просмотреть сформированные отчеты можно в разделе «Список отчетов».</w:t>
      </w:r>
    </w:p>
    <w:p w14:paraId="7CD0514F">
      <w:pPr>
        <w:pStyle w:val="69"/>
      </w:pPr>
      <w:r>
        <w:t xml:space="preserve">Для перехода в раздел в ленте главного меню раскрыть меню «Все разделы» и выбрать пункт «Список отчетов» (рис. </w:t>
      </w:r>
      <w:r>
        <w:fldChar w:fldCharType="begin"/>
      </w:r>
      <w:r>
        <w:instrText xml:space="preserve"> REF  _Ref195097984 \h\#\0   \* MERGEFORMAT </w:instrText>
      </w:r>
      <w:r>
        <w:fldChar w:fldCharType="separate"/>
      </w:r>
      <w:r>
        <w:t>205</w:t>
      </w:r>
      <w:r>
        <w:fldChar w:fldCharType="end"/>
      </w:r>
      <w:r>
        <w:t>).</w:t>
      </w:r>
    </w:p>
    <w:p w14:paraId="5ECC3657">
      <w:pPr>
        <w:pStyle w:val="73"/>
      </w:pPr>
      <w:r>
        <w:drawing>
          <wp:inline distT="0" distB="0" distL="0" distR="0">
            <wp:extent cx="5399405" cy="2325370"/>
            <wp:effectExtent l="19050" t="19050" r="10795" b="17780"/>
            <wp:docPr id="18128560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856036" name="Рисунок 1"/>
                    <pic:cNvPicPr>
                      <a:picLocks noChangeAspect="1"/>
                    </pic:cNvPicPr>
                  </pic:nvPicPr>
                  <pic:blipFill>
                    <a:blip r:embed="rId237"/>
                    <a:stretch>
                      <a:fillRect/>
                    </a:stretch>
                  </pic:blipFill>
                  <pic:spPr>
                    <a:xfrm>
                      <a:off x="0" y="0"/>
                      <a:ext cx="5400000" cy="2325412"/>
                    </a:xfrm>
                    <a:prstGeom prst="rect">
                      <a:avLst/>
                    </a:prstGeom>
                    <a:ln w="3175" cmpd="sng">
                      <a:solidFill>
                        <a:srgbClr val="000000"/>
                      </a:solidFill>
                    </a:ln>
                  </pic:spPr>
                </pic:pic>
              </a:graphicData>
            </a:graphic>
          </wp:inline>
        </w:drawing>
      </w:r>
    </w:p>
    <w:p w14:paraId="5B4D7E25">
      <w:pPr>
        <w:pStyle w:val="74"/>
      </w:pPr>
      <w:bookmarkStart w:id="2839" w:name="_Ref195097984"/>
      <w:r>
        <w:t xml:space="preserve">Рисунок </w:t>
      </w:r>
      <w:r>
        <w:fldChar w:fldCharType="begin"/>
      </w:r>
      <w:r>
        <w:instrText xml:space="preserve"> SEQ Рисунок \* ARABIC </w:instrText>
      </w:r>
      <w:r>
        <w:fldChar w:fldCharType="separate"/>
      </w:r>
      <w:r>
        <w:t>205</w:t>
      </w:r>
      <w:r>
        <w:fldChar w:fldCharType="end"/>
      </w:r>
      <w:bookmarkEnd w:id="2839"/>
      <w:r>
        <w:t xml:space="preserve"> — Всплывающее меню «Все разделы». Выбор пункта «Список отчетов»</w:t>
      </w:r>
    </w:p>
    <w:p w14:paraId="46ED49C7">
      <w:pPr>
        <w:pStyle w:val="69"/>
      </w:pPr>
      <w:r>
        <w:t xml:space="preserve">В разделе «Список отчетов» (рис. </w:t>
      </w:r>
      <w:r>
        <w:fldChar w:fldCharType="begin"/>
      </w:r>
      <w:r>
        <w:instrText xml:space="preserve"> REF  _Ref195098496 \h \t\#\0   \* MERGEFORMAT </w:instrText>
      </w:r>
      <w:r>
        <w:fldChar w:fldCharType="separate"/>
      </w:r>
      <w:r>
        <w:t>206</w:t>
      </w:r>
      <w:r>
        <w:fldChar w:fldCharType="end"/>
      </w:r>
      <w:r>
        <w:t>) в рабочей области отображается список отчетов и панель фильтрации для поиска отчетов.</w:t>
      </w:r>
    </w:p>
    <w:p w14:paraId="18342632">
      <w:pPr>
        <w:pStyle w:val="73"/>
      </w:pPr>
      <w:r>
        <w:drawing>
          <wp:inline distT="0" distB="0" distL="0" distR="0">
            <wp:extent cx="6119495" cy="2419350"/>
            <wp:effectExtent l="19050" t="19050" r="14605" b="19050"/>
            <wp:docPr id="2979240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4071" name="Рисунок 1"/>
                    <pic:cNvPicPr>
                      <a:picLocks noChangeAspect="1"/>
                    </pic:cNvPicPr>
                  </pic:nvPicPr>
                  <pic:blipFill>
                    <a:blip r:embed="rId238"/>
                    <a:stretch>
                      <a:fillRect/>
                    </a:stretch>
                  </pic:blipFill>
                  <pic:spPr>
                    <a:xfrm>
                      <a:off x="0" y="0"/>
                      <a:ext cx="6119495" cy="2419350"/>
                    </a:xfrm>
                    <a:prstGeom prst="rect">
                      <a:avLst/>
                    </a:prstGeom>
                    <a:ln w="3175" cmpd="sng">
                      <a:solidFill>
                        <a:srgbClr val="000000"/>
                      </a:solidFill>
                    </a:ln>
                  </pic:spPr>
                </pic:pic>
              </a:graphicData>
            </a:graphic>
          </wp:inline>
        </w:drawing>
      </w:r>
    </w:p>
    <w:p w14:paraId="23AA09E8">
      <w:pPr>
        <w:pStyle w:val="74"/>
      </w:pPr>
      <w:bookmarkStart w:id="2840" w:name="_Ref195098496"/>
      <w:r>
        <w:t xml:space="preserve">Рисунок </w:t>
      </w:r>
      <w:r>
        <w:fldChar w:fldCharType="begin"/>
      </w:r>
      <w:r>
        <w:instrText xml:space="preserve"> SEQ Рисунок \* ARABIC </w:instrText>
      </w:r>
      <w:r>
        <w:fldChar w:fldCharType="separate"/>
      </w:r>
      <w:r>
        <w:t>206</w:t>
      </w:r>
      <w:r>
        <w:fldChar w:fldCharType="end"/>
      </w:r>
      <w:bookmarkEnd w:id="2840"/>
      <w:r>
        <w:t xml:space="preserve"> — Раздел «Список отчетов»</w:t>
      </w:r>
    </w:p>
    <w:p w14:paraId="2BF8E7AB">
      <w:pPr>
        <w:pStyle w:val="69"/>
      </w:pPr>
      <w:r>
        <w:t>В информационной строке отображается:</w:t>
      </w:r>
    </w:p>
    <w:p w14:paraId="06DC468B">
      <w:pPr>
        <w:pStyle w:val="76"/>
      </w:pPr>
      <w:r>
        <w:t>наименование раздела — «Список отчетов»;</w:t>
      </w:r>
    </w:p>
    <w:p w14:paraId="4B8AF78C">
      <w:pPr>
        <w:pStyle w:val="76"/>
      </w:pPr>
      <w:r>
        <w:t>количество найденных записей;</w:t>
      </w:r>
    </w:p>
    <w:p w14:paraId="2D47806A">
      <w:pPr>
        <w:pStyle w:val="76"/>
      </w:pPr>
      <w:r>
        <w:t xml:space="preserve">кнопка </w:t>
      </w:r>
      <w:r>
        <w:drawing>
          <wp:inline distT="0" distB="0" distL="0" distR="0">
            <wp:extent cx="179705" cy="197485"/>
            <wp:effectExtent l="19050" t="19050" r="10795" b="12065"/>
            <wp:docPr id="19656845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684522" name="Рисунок 1"/>
                    <pic:cNvPicPr>
                      <a:picLocks noChangeAspect="1"/>
                    </pic:cNvPicPr>
                  </pic:nvPicPr>
                  <pic:blipFill>
                    <a:blip r:embed="rId239"/>
                    <a:stretch>
                      <a:fillRect/>
                    </a:stretch>
                  </pic:blipFill>
                  <pic:spPr>
                    <a:xfrm>
                      <a:off x="0" y="0"/>
                      <a:ext cx="180000" cy="197999"/>
                    </a:xfrm>
                    <a:prstGeom prst="rect">
                      <a:avLst/>
                    </a:prstGeom>
                    <a:ln w="3175" cmpd="sng">
                      <a:solidFill>
                        <a:srgbClr val="000000"/>
                      </a:solidFill>
                    </a:ln>
                  </pic:spPr>
                </pic:pic>
              </a:graphicData>
            </a:graphic>
          </wp:inline>
        </w:drawing>
      </w:r>
      <w:r>
        <w:t xml:space="preserve"> «Обновить»;</w:t>
      </w:r>
    </w:p>
    <w:p w14:paraId="2B163215">
      <w:pPr>
        <w:pStyle w:val="76"/>
      </w:pPr>
      <w:r>
        <w:t xml:space="preserve">кнопка </w:t>
      </w:r>
      <w:r>
        <w:drawing>
          <wp:inline distT="0" distB="0" distL="0" distR="0">
            <wp:extent cx="719455" cy="190500"/>
            <wp:effectExtent l="19050" t="19050" r="23495" b="19050"/>
            <wp:docPr id="5994188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18878" name="Рисунок 1"/>
                    <pic:cNvPicPr>
                      <a:picLocks noChangeAspect="1"/>
                    </pic:cNvPicPr>
                  </pic:nvPicPr>
                  <pic:blipFill>
                    <a:blip r:embed="rId240"/>
                    <a:stretch>
                      <a:fillRect/>
                    </a:stretch>
                  </pic:blipFill>
                  <pic:spPr>
                    <a:xfrm>
                      <a:off x="0" y="0"/>
                      <a:ext cx="720000" cy="190588"/>
                    </a:xfrm>
                    <a:prstGeom prst="rect">
                      <a:avLst/>
                    </a:prstGeom>
                    <a:ln w="3175" cmpd="sng">
                      <a:solidFill>
                        <a:srgbClr val="000000"/>
                      </a:solidFill>
                    </a:ln>
                  </pic:spPr>
                </pic:pic>
              </a:graphicData>
            </a:graphic>
          </wp:inline>
        </w:drawing>
      </w:r>
      <w:r>
        <w:t xml:space="preserve"> «+ Новый отчет» — активна только для роли Плательщик ТФОМС.</w:t>
      </w:r>
    </w:p>
    <w:p w14:paraId="003A4596">
      <w:pPr>
        <w:pStyle w:val="69"/>
      </w:pPr>
      <w:r>
        <w:t xml:space="preserve">В блоке «Фильтр» (рис. </w:t>
      </w:r>
      <w:r>
        <w:fldChar w:fldCharType="begin"/>
      </w:r>
      <w:r>
        <w:instrText xml:space="preserve"> REF  _Ref202534436 \h\#\0   \* MERGEFORMAT </w:instrText>
      </w:r>
      <w:r>
        <w:fldChar w:fldCharType="separate"/>
      </w:r>
      <w:r>
        <w:t>207</w:t>
      </w:r>
      <w:r>
        <w:fldChar w:fldCharType="end"/>
      </w:r>
      <w:r>
        <w:t>) доступен выбор отображения отчетов путем изменения положения переключателей:</w:t>
      </w:r>
    </w:p>
    <w:p w14:paraId="568C4124">
      <w:pPr>
        <w:pStyle w:val="76"/>
      </w:pPr>
      <w:r>
        <w:t>«Только мои» —по умолчанию в активном положении. При переводе в неактивное состояние доступен выбор инициатора формирования отчета в поле «Автор»;</w:t>
      </w:r>
    </w:p>
    <w:p w14:paraId="5DABDE04">
      <w:pPr>
        <w:pStyle w:val="76"/>
      </w:pPr>
      <w:r>
        <w:t>«Учитывать удаленные» — по умолчанию не активен. Активация переключателя позволяет просматривать отчеты, которые были удалены.</w:t>
      </w:r>
    </w:p>
    <w:p w14:paraId="508C3766">
      <w:pPr>
        <w:pStyle w:val="73"/>
      </w:pPr>
      <w:r>
        <w:drawing>
          <wp:inline distT="0" distB="0" distL="0" distR="0">
            <wp:extent cx="2159635" cy="3302000"/>
            <wp:effectExtent l="19050" t="19050" r="12065" b="12700"/>
            <wp:docPr id="19896748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674888" name="Рисунок 1"/>
                    <pic:cNvPicPr>
                      <a:picLocks noChangeAspect="1"/>
                    </pic:cNvPicPr>
                  </pic:nvPicPr>
                  <pic:blipFill>
                    <a:blip r:embed="rId241"/>
                    <a:stretch>
                      <a:fillRect/>
                    </a:stretch>
                  </pic:blipFill>
                  <pic:spPr>
                    <a:xfrm>
                      <a:off x="0" y="0"/>
                      <a:ext cx="2160000" cy="3302549"/>
                    </a:xfrm>
                    <a:prstGeom prst="rect">
                      <a:avLst/>
                    </a:prstGeom>
                    <a:ln w="3175" cmpd="sng">
                      <a:solidFill>
                        <a:srgbClr val="000000"/>
                      </a:solidFill>
                    </a:ln>
                  </pic:spPr>
                </pic:pic>
              </a:graphicData>
            </a:graphic>
          </wp:inline>
        </w:drawing>
      </w:r>
    </w:p>
    <w:p w14:paraId="64710EFD">
      <w:pPr>
        <w:pStyle w:val="74"/>
      </w:pPr>
      <w:bookmarkStart w:id="2841" w:name="_Ref202534436"/>
      <w:r>
        <w:t xml:space="preserve">Рисунок </w:t>
      </w:r>
      <w:r>
        <w:fldChar w:fldCharType="begin"/>
      </w:r>
      <w:r>
        <w:instrText xml:space="preserve"> SEQ Рисунок \* ARABIC </w:instrText>
      </w:r>
      <w:r>
        <w:fldChar w:fldCharType="separate"/>
      </w:r>
      <w:r>
        <w:t>207</w:t>
      </w:r>
      <w:r>
        <w:fldChar w:fldCharType="end"/>
      </w:r>
      <w:bookmarkEnd w:id="2841"/>
      <w:r>
        <w:t xml:space="preserve"> — Раздел «Список отчетов». Панель «Фильтр»</w:t>
      </w:r>
    </w:p>
    <w:p w14:paraId="257122CF">
      <w:pPr>
        <w:pStyle w:val="69"/>
      </w:pPr>
      <w:r>
        <w:t>Поиск отчетов возможен по параметрам:</w:t>
      </w:r>
    </w:p>
    <w:p w14:paraId="0051337F">
      <w:pPr>
        <w:pStyle w:val="76"/>
      </w:pPr>
      <w:r>
        <w:t xml:space="preserve">«Отчет» — выбор типа отчета (рис. </w:t>
      </w:r>
      <w:r>
        <w:fldChar w:fldCharType="begin"/>
      </w:r>
      <w:r>
        <w:instrText xml:space="preserve"> REF  _Ref195179034 \h\#\0   \* MERGEFORMAT </w:instrText>
      </w:r>
      <w:r>
        <w:fldChar w:fldCharType="separate"/>
      </w:r>
      <w:r>
        <w:t>208</w:t>
      </w:r>
      <w:r>
        <w:fldChar w:fldCharType="end"/>
      </w:r>
      <w:r>
        <w:t>). Доступные варианты:</w:t>
      </w:r>
    </w:p>
    <w:p w14:paraId="46314FE0">
      <w:pPr>
        <w:pStyle w:val="78"/>
        <w:numPr>
          <w:ilvl w:val="0"/>
          <w:numId w:val="9"/>
        </w:numPr>
        <w:ind w:left="1077"/>
      </w:pPr>
      <w:r>
        <w:rPr>
          <w:lang w:val="en-US"/>
        </w:rPr>
        <w:t xml:space="preserve">OPF </w:t>
      </w:r>
      <w:r>
        <w:t>—</w:t>
      </w:r>
      <w:r>
        <w:rPr>
          <w:lang w:val="en-US"/>
        </w:rPr>
        <w:t xml:space="preserve"> </w:t>
      </w:r>
      <w:r>
        <w:t>Отчёт План-Факт,</w:t>
      </w:r>
    </w:p>
    <w:p w14:paraId="7065D172">
      <w:pPr>
        <w:pStyle w:val="78"/>
        <w:numPr>
          <w:ilvl w:val="0"/>
          <w:numId w:val="9"/>
        </w:numPr>
        <w:ind w:left="1077"/>
      </w:pPr>
      <w:r>
        <w:rPr>
          <w:lang w:val="en-US"/>
        </w:rPr>
        <w:t>OFPERIOD</w:t>
      </w:r>
      <w:r>
        <w:t xml:space="preserve"> — Отчёт Факт за месяц;</w:t>
      </w:r>
    </w:p>
    <w:p w14:paraId="5382082D">
      <w:pPr>
        <w:pStyle w:val="76"/>
      </w:pPr>
      <w:r>
        <w:t>«Автор» — выбор инициатора формирования отчета. Доступен при неактивном состоянии переключателя «Только мои»;</w:t>
      </w:r>
    </w:p>
    <w:p w14:paraId="40E031CC">
      <w:pPr>
        <w:pStyle w:val="76"/>
      </w:pPr>
      <w:r>
        <w:t>«Статус» — текущее состояние. Возможные варианты:</w:t>
      </w:r>
    </w:p>
    <w:p w14:paraId="3E808BE0">
      <w:pPr>
        <w:pStyle w:val="78"/>
      </w:pPr>
      <w:r>
        <w:t>«Ошибка»,</w:t>
      </w:r>
    </w:p>
    <w:p w14:paraId="62D4CA4D">
      <w:pPr>
        <w:pStyle w:val="78"/>
      </w:pPr>
      <w:r>
        <w:t>«Сформирован»,</w:t>
      </w:r>
    </w:p>
    <w:p w14:paraId="6C7F3145">
      <w:pPr>
        <w:pStyle w:val="78"/>
      </w:pPr>
      <w:r>
        <w:t>«Формируется»;</w:t>
      </w:r>
    </w:p>
    <w:p w14:paraId="6482EEEF">
      <w:pPr>
        <w:pStyle w:val="76"/>
      </w:pPr>
      <w:r>
        <w:t>«Дата создания с» — выбор даты в формате дд.мм.гггг;</w:t>
      </w:r>
    </w:p>
    <w:p w14:paraId="0E152982">
      <w:pPr>
        <w:pStyle w:val="76"/>
      </w:pPr>
      <w:r>
        <w:t>«Дата создания по» — выбор даты в формате дд.мм.гггг.</w:t>
      </w:r>
    </w:p>
    <w:p w14:paraId="2BEB7A6E">
      <w:pPr>
        <w:pStyle w:val="73"/>
      </w:pPr>
      <w:r>
        <w:drawing>
          <wp:inline distT="0" distB="0" distL="0" distR="0">
            <wp:extent cx="2159635" cy="3423920"/>
            <wp:effectExtent l="19050" t="19050" r="12065" b="24130"/>
            <wp:docPr id="20458816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881651" name="Рисунок 1"/>
                    <pic:cNvPicPr>
                      <a:picLocks noChangeAspect="1"/>
                    </pic:cNvPicPr>
                  </pic:nvPicPr>
                  <pic:blipFill>
                    <a:blip r:embed="rId242"/>
                    <a:stretch>
                      <a:fillRect/>
                    </a:stretch>
                  </pic:blipFill>
                  <pic:spPr>
                    <a:xfrm>
                      <a:off x="0" y="0"/>
                      <a:ext cx="2160000" cy="3424186"/>
                    </a:xfrm>
                    <a:prstGeom prst="rect">
                      <a:avLst/>
                    </a:prstGeom>
                    <a:ln w="3175" cmpd="sng">
                      <a:solidFill>
                        <a:srgbClr val="000000"/>
                      </a:solidFill>
                    </a:ln>
                  </pic:spPr>
                </pic:pic>
              </a:graphicData>
            </a:graphic>
          </wp:inline>
        </w:drawing>
      </w:r>
    </w:p>
    <w:p w14:paraId="1ADFC190">
      <w:pPr>
        <w:pStyle w:val="74"/>
      </w:pPr>
      <w:bookmarkStart w:id="2842" w:name="_Ref195179034"/>
      <w:r>
        <w:t xml:space="preserve">Рисунок </w:t>
      </w:r>
      <w:r>
        <w:fldChar w:fldCharType="begin"/>
      </w:r>
      <w:r>
        <w:instrText xml:space="preserve"> SEQ Рисунок \* ARABIC </w:instrText>
      </w:r>
      <w:r>
        <w:fldChar w:fldCharType="separate"/>
      </w:r>
      <w:r>
        <w:t>208</w:t>
      </w:r>
      <w:r>
        <w:fldChar w:fldCharType="end"/>
      </w:r>
      <w:bookmarkEnd w:id="2842"/>
      <w:r>
        <w:t xml:space="preserve"> — Поиск отчетов</w:t>
      </w:r>
    </w:p>
    <w:p w14:paraId="50AC4F83">
      <w:pPr>
        <w:pStyle w:val="69"/>
      </w:pPr>
      <w:r>
        <w:t>Указать параметры поиска в панели «Фильтр» и нажать «Найти».</w:t>
      </w:r>
    </w:p>
    <w:p w14:paraId="2EA8041E">
      <w:pPr>
        <w:pStyle w:val="69"/>
        <w:rPr>
          <w:lang w:val="en-US"/>
        </w:rPr>
      </w:pPr>
      <w:r>
        <w:t xml:space="preserve">В рабочей области отобразится список отчетов (рис. </w:t>
      </w:r>
      <w:r>
        <w:fldChar w:fldCharType="begin"/>
      </w:r>
      <w:r>
        <w:instrText xml:space="preserve"> REF  _Ref202535037 \h\#\0   \* MERGEFORMAT </w:instrText>
      </w:r>
      <w:r>
        <w:fldChar w:fldCharType="separate"/>
      </w:r>
      <w:r>
        <w:t>209</w:t>
      </w:r>
      <w:r>
        <w:fldChar w:fldCharType="end"/>
      </w:r>
      <w:r>
        <w:t>).</w:t>
      </w:r>
    </w:p>
    <w:p w14:paraId="70BBC57F">
      <w:pPr>
        <w:pStyle w:val="73"/>
      </w:pPr>
      <w:r>
        <w:drawing>
          <wp:inline distT="0" distB="0" distL="0" distR="0">
            <wp:extent cx="6119495" cy="1033780"/>
            <wp:effectExtent l="19050" t="19050" r="14605" b="13970"/>
            <wp:docPr id="20540543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54300" name="Рисунок 1"/>
                    <pic:cNvPicPr>
                      <a:picLocks noChangeAspect="1"/>
                    </pic:cNvPicPr>
                  </pic:nvPicPr>
                  <pic:blipFill>
                    <a:blip r:embed="rId243"/>
                    <a:stretch>
                      <a:fillRect/>
                    </a:stretch>
                  </pic:blipFill>
                  <pic:spPr>
                    <a:xfrm>
                      <a:off x="0" y="0"/>
                      <a:ext cx="6119495" cy="1033780"/>
                    </a:xfrm>
                    <a:prstGeom prst="rect">
                      <a:avLst/>
                    </a:prstGeom>
                    <a:ln w="3175" cmpd="sng">
                      <a:solidFill>
                        <a:srgbClr val="000000"/>
                      </a:solidFill>
                    </a:ln>
                  </pic:spPr>
                </pic:pic>
              </a:graphicData>
            </a:graphic>
          </wp:inline>
        </w:drawing>
      </w:r>
    </w:p>
    <w:p w14:paraId="39E52A25">
      <w:pPr>
        <w:pStyle w:val="74"/>
      </w:pPr>
      <w:bookmarkStart w:id="2843" w:name="_Ref202535037"/>
      <w:r>
        <w:t xml:space="preserve">Рисунок </w:t>
      </w:r>
      <w:r>
        <w:fldChar w:fldCharType="begin"/>
      </w:r>
      <w:r>
        <w:instrText xml:space="preserve"> SEQ Рисунок \* ARABIC </w:instrText>
      </w:r>
      <w:r>
        <w:fldChar w:fldCharType="separate"/>
      </w:r>
      <w:r>
        <w:t>209</w:t>
      </w:r>
      <w:r>
        <w:fldChar w:fldCharType="end"/>
      </w:r>
      <w:bookmarkEnd w:id="2843"/>
      <w:r>
        <w:t xml:space="preserve"> — Список отчетов. Отчеты План-факт</w:t>
      </w:r>
    </w:p>
    <w:p w14:paraId="45E8A73D">
      <w:pPr>
        <w:pStyle w:val="69"/>
      </w:pPr>
      <w:r>
        <w:t>В информационной строке в поле «Найдено» отображается количество отчетов, удовлетворяющих заданным параметрам поиска.</w:t>
      </w:r>
    </w:p>
    <w:p w14:paraId="4A10E811">
      <w:pPr>
        <w:pStyle w:val="69"/>
        <w:keepNext/>
      </w:pPr>
      <w:r>
        <w:t>Табличная часть содержит основные сведения в следующих столбцах:</w:t>
      </w:r>
    </w:p>
    <w:p w14:paraId="3ECDAB7C">
      <w:pPr>
        <w:pStyle w:val="76"/>
        <w:keepNext/>
      </w:pPr>
      <w:r>
        <w:t>порядковый номер записи;</w:t>
      </w:r>
    </w:p>
    <w:p w14:paraId="6273831E">
      <w:pPr>
        <w:pStyle w:val="76"/>
      </w:pPr>
      <w:r>
        <w:t>«Наименование» — наименование типа отчета. Активная ссылка для скачивания отчета;</w:t>
      </w:r>
    </w:p>
    <w:p w14:paraId="6AC1E528">
      <w:pPr>
        <w:pStyle w:val="76"/>
      </w:pPr>
      <w:r>
        <w:t>«Статус» — текущее состояние;</w:t>
      </w:r>
    </w:p>
    <w:p w14:paraId="74DA0828">
      <w:pPr>
        <w:pStyle w:val="76"/>
      </w:pPr>
      <w:bookmarkStart w:id="2844" w:name="_Hlk202517695"/>
      <w:bookmarkStart w:id="2845" w:name="_Hlk202517703"/>
      <w:r>
        <w:t xml:space="preserve">«Дата и время создания» </w:t>
      </w:r>
      <w:bookmarkEnd w:id="2844"/>
      <w:r>
        <w:t>— дата и время создания отчета в формате дд.мм.гггг ЧЧ.ММ.МС;</w:t>
      </w:r>
    </w:p>
    <w:bookmarkEnd w:id="2845"/>
    <w:p w14:paraId="4BA29861">
      <w:pPr>
        <w:pStyle w:val="76"/>
      </w:pPr>
      <w:r>
        <w:t>«Дата и время удаления» — дата и время удаления отчета в формате дд.мм.гггг ЧЧ.ММ.МС;</w:t>
      </w:r>
    </w:p>
    <w:p w14:paraId="735506D6">
      <w:pPr>
        <w:pStyle w:val="76"/>
      </w:pPr>
      <w:r>
        <w:t>«Автор» — учетная запись пользователя, инициировавшего формирование отчета;</w:t>
      </w:r>
    </w:p>
    <w:p w14:paraId="4C983291">
      <w:pPr>
        <w:pStyle w:val="76"/>
      </w:pPr>
      <w:r>
        <w:t>«Параметры отчета» — активная ссылка для просмотра параметров отчета;</w:t>
      </w:r>
    </w:p>
    <w:p w14:paraId="29337E8D">
      <w:pPr>
        <w:pStyle w:val="76"/>
      </w:pPr>
      <w:r>
        <w:t>«Удален» — маркер удаления записи: «Да»/«Нет»;</w:t>
      </w:r>
    </w:p>
    <w:p w14:paraId="2C4BCD58">
      <w:pPr>
        <w:pStyle w:val="76"/>
      </w:pPr>
      <w:r>
        <w:t>«Время формирования, мс;</w:t>
      </w:r>
    </w:p>
    <w:p w14:paraId="5572ACBB">
      <w:pPr>
        <w:pStyle w:val="76"/>
      </w:pPr>
      <w:r>
        <w:t xml:space="preserve">элемент </w:t>
      </w:r>
      <w:r>
        <w:drawing>
          <wp:inline distT="0" distB="0" distL="0" distR="0">
            <wp:extent cx="257175" cy="238125"/>
            <wp:effectExtent l="19050" t="19050" r="28575" b="28575"/>
            <wp:docPr id="19006950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95017" name="Рисунок 1"/>
                    <pic:cNvPicPr>
                      <a:picLocks noChangeAspect="1"/>
                    </pic:cNvPicPr>
                  </pic:nvPicPr>
                  <pic:blipFill>
                    <a:blip r:embed="rId244"/>
                    <a:stretch>
                      <a:fillRect/>
                    </a:stretch>
                  </pic:blipFill>
                  <pic:spPr>
                    <a:xfrm>
                      <a:off x="0" y="0"/>
                      <a:ext cx="257211" cy="238158"/>
                    </a:xfrm>
                    <a:prstGeom prst="rect">
                      <a:avLst/>
                    </a:prstGeom>
                    <a:ln w="3175" cmpd="sng">
                      <a:solidFill>
                        <a:srgbClr val="000000"/>
                      </a:solidFill>
                    </a:ln>
                  </pic:spPr>
                </pic:pic>
              </a:graphicData>
            </a:graphic>
          </wp:inline>
        </w:drawing>
      </w:r>
      <w:r>
        <w:t xml:space="preserve"> «Настройка» — управление настройкой отображения столбцов и удаления записи.</w:t>
      </w:r>
    </w:p>
    <w:p w14:paraId="7B9912A1">
      <w:pPr>
        <w:pStyle w:val="69"/>
      </w:pPr>
      <w:r>
        <w:t xml:space="preserve">Чтобы просмотреть отчет, выбрать строку записи и нажать активную ссылку в поле «Наименование» для скачивания отчета. Файл с отчетом в формате </w:t>
      </w:r>
      <w:r>
        <w:rPr>
          <w:lang w:val="en-US"/>
        </w:rPr>
        <w:t>XLSX</w:t>
      </w:r>
      <w:r>
        <w:t xml:space="preserve"> автоматически скачивается локально в папку «Загрузки». Имя файла содержит код типа отчета, дату и время формирования в формате ГГГГ-ММ-ДД-ЧЧ-ММ-МСМС.</w:t>
      </w:r>
    </w:p>
    <w:p w14:paraId="3DFD47CF">
      <w:pPr>
        <w:pStyle w:val="69"/>
      </w:pPr>
      <w:r>
        <w:t>Сформированный отчет содержит плановые и фактические показатели МП, а также процент выполнения плана.</w:t>
      </w:r>
    </w:p>
    <w:p w14:paraId="67AC5A6F">
      <w:pPr>
        <w:pStyle w:val="69"/>
      </w:pPr>
      <w:r>
        <w:t xml:space="preserve">Чтобы удалить отчет из списка отчетов, выбрать строку записи и нажать в столбце </w:t>
      </w:r>
      <w:r>
        <w:drawing>
          <wp:inline distT="0" distB="0" distL="0" distR="0">
            <wp:extent cx="215900" cy="199390"/>
            <wp:effectExtent l="19050" t="19050" r="12700" b="10160"/>
            <wp:docPr id="16282840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284065" name="Рисунок 1"/>
                    <pic:cNvPicPr>
                      <a:picLocks noChangeAspect="1"/>
                    </pic:cNvPicPr>
                  </pic:nvPicPr>
                  <pic:blipFill>
                    <a:blip r:embed="rId244"/>
                    <a:stretch>
                      <a:fillRect/>
                    </a:stretch>
                  </pic:blipFill>
                  <pic:spPr>
                    <a:xfrm>
                      <a:off x="0" y="0"/>
                      <a:ext cx="216000" cy="200000"/>
                    </a:xfrm>
                    <a:prstGeom prst="rect">
                      <a:avLst/>
                    </a:prstGeom>
                    <a:ln w="3175" cmpd="sng">
                      <a:solidFill>
                        <a:srgbClr val="000000"/>
                      </a:solidFill>
                    </a:ln>
                  </pic:spPr>
                </pic:pic>
              </a:graphicData>
            </a:graphic>
          </wp:inline>
        </w:drawing>
      </w:r>
      <w:r>
        <w:t xml:space="preserve"> «Настройка» пиктограмму </w:t>
      </w:r>
      <w:r>
        <w:drawing>
          <wp:inline distT="0" distB="0" distL="0" distR="0">
            <wp:extent cx="215900" cy="225425"/>
            <wp:effectExtent l="19050" t="19050" r="12700" b="22225"/>
            <wp:docPr id="20127715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771560" name="Рисунок 1"/>
                    <pic:cNvPicPr>
                      <a:picLocks noChangeAspect="1"/>
                    </pic:cNvPicPr>
                  </pic:nvPicPr>
                  <pic:blipFill>
                    <a:blip r:embed="rId245"/>
                    <a:stretch>
                      <a:fillRect/>
                    </a:stretch>
                  </pic:blipFill>
                  <pic:spPr>
                    <a:xfrm>
                      <a:off x="0" y="0"/>
                      <a:ext cx="216000" cy="225819"/>
                    </a:xfrm>
                    <a:prstGeom prst="rect">
                      <a:avLst/>
                    </a:prstGeom>
                    <a:ln w="3175" cmpd="sng">
                      <a:solidFill>
                        <a:srgbClr val="000000"/>
                      </a:solidFill>
                    </a:ln>
                  </pic:spPr>
                </pic:pic>
              </a:graphicData>
            </a:graphic>
          </wp:inline>
        </w:drawing>
      </w:r>
      <w:r>
        <w:t xml:space="preserve"> «Удалить». Важно: при удалении отчет не удаляется фактически, а скрывается из списка, но его все еще можно скачать, если до удаления он был в статусе «Сформирован». Операция удаления отчета из списка доступна только пользователю с ролью Плательщик ТФОМС.</w:t>
      </w:r>
    </w:p>
    <w:p w14:paraId="02D38374">
      <w:pPr>
        <w:pStyle w:val="60"/>
      </w:pPr>
      <w:bookmarkStart w:id="2846" w:name="_Ref195097030"/>
      <w:bookmarkStart w:id="2847" w:name="_Toc195102948"/>
      <w:bookmarkStart w:id="2848" w:name="_Toc195106652"/>
      <w:bookmarkStart w:id="2849" w:name="_Toc225866380"/>
      <w:r>
        <w:t>Формирование отчетов</w:t>
      </w:r>
      <w:bookmarkEnd w:id="2846"/>
      <w:bookmarkEnd w:id="2847"/>
      <w:bookmarkEnd w:id="2848"/>
      <w:r>
        <w:t xml:space="preserve"> «План-Факт» и «Факт за месяц»</w:t>
      </w:r>
      <w:bookmarkEnd w:id="2849"/>
    </w:p>
    <w:p w14:paraId="04290D5C">
      <w:pPr>
        <w:pStyle w:val="69"/>
      </w:pPr>
      <w:r>
        <w:t>Формирование отчетов осуществляется в разделе «Список отчетов».</w:t>
      </w:r>
    </w:p>
    <w:p w14:paraId="6977DD12">
      <w:pPr>
        <w:pStyle w:val="69"/>
      </w:pPr>
      <w:r>
        <w:t>Операция доступна пользователю с ролью Плательщик ТФОМС.</w:t>
      </w:r>
    </w:p>
    <w:p w14:paraId="35F2300E">
      <w:pPr>
        <w:pStyle w:val="69"/>
      </w:pPr>
      <w:r>
        <w:t xml:space="preserve">Для перехода в раздел в ленте главного меню раскрыть меню «Все разделы» и выбрать пункт «Список отчетов» (рис. </w:t>
      </w:r>
      <w:r>
        <w:fldChar w:fldCharType="begin"/>
      </w:r>
      <w:r>
        <w:instrText xml:space="preserve"> REF  _Ref195097984 \h\#\0   \* MERGEFORMAT </w:instrText>
      </w:r>
      <w:r>
        <w:fldChar w:fldCharType="separate"/>
      </w:r>
      <w:r>
        <w:t>205</w:t>
      </w:r>
      <w:r>
        <w:fldChar w:fldCharType="end"/>
      </w:r>
      <w:r>
        <w:t>).</w:t>
      </w:r>
    </w:p>
    <w:p w14:paraId="61C0F0BF">
      <w:pPr>
        <w:pStyle w:val="69"/>
      </w:pPr>
      <w:r>
        <w:t>Для формирования отчета необходимо нажать кнопку «+ Новый отчет». Отобразится форма «Создание отчета» (рис. </w:t>
      </w:r>
      <w:r>
        <w:fldChar w:fldCharType="begin"/>
      </w:r>
      <w:r>
        <w:instrText xml:space="preserve"> REF  _Ref195100496 \h\#\0   \* MERGEFORMAT </w:instrText>
      </w:r>
      <w:r>
        <w:fldChar w:fldCharType="separate"/>
      </w:r>
      <w:r>
        <w:t>210</w:t>
      </w:r>
      <w:r>
        <w:fldChar w:fldCharType="end"/>
      </w:r>
      <w:r>
        <w:t>) с атрибутами «Тип отчета», кнопка «Отмена» и «Сохранить».</w:t>
      </w:r>
    </w:p>
    <w:p w14:paraId="081BA509">
      <w:pPr>
        <w:pStyle w:val="73"/>
      </w:pPr>
      <w:r>
        <w:drawing>
          <wp:inline distT="0" distB="0" distL="0" distR="0">
            <wp:extent cx="6119495" cy="1994535"/>
            <wp:effectExtent l="19050" t="19050" r="14605" b="24765"/>
            <wp:docPr id="16930017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001726" name="Рисунок 1"/>
                    <pic:cNvPicPr>
                      <a:picLocks noChangeAspect="1"/>
                    </pic:cNvPicPr>
                  </pic:nvPicPr>
                  <pic:blipFill>
                    <a:blip r:embed="rId246"/>
                    <a:stretch>
                      <a:fillRect/>
                    </a:stretch>
                  </pic:blipFill>
                  <pic:spPr>
                    <a:xfrm>
                      <a:off x="0" y="0"/>
                      <a:ext cx="6119495" cy="1994535"/>
                    </a:xfrm>
                    <a:prstGeom prst="rect">
                      <a:avLst/>
                    </a:prstGeom>
                    <a:ln w="3175" cmpd="sng">
                      <a:solidFill>
                        <a:srgbClr val="000000"/>
                      </a:solidFill>
                    </a:ln>
                  </pic:spPr>
                </pic:pic>
              </a:graphicData>
            </a:graphic>
          </wp:inline>
        </w:drawing>
      </w:r>
    </w:p>
    <w:p w14:paraId="2796F858">
      <w:pPr>
        <w:pStyle w:val="74"/>
      </w:pPr>
      <w:bookmarkStart w:id="2850" w:name="_Ref195100496"/>
      <w:r>
        <w:t xml:space="preserve">Рисунок </w:t>
      </w:r>
      <w:r>
        <w:fldChar w:fldCharType="begin"/>
      </w:r>
      <w:r>
        <w:instrText xml:space="preserve"> SEQ Рисунок \* ARABIC </w:instrText>
      </w:r>
      <w:r>
        <w:fldChar w:fldCharType="separate"/>
      </w:r>
      <w:r>
        <w:t>210</w:t>
      </w:r>
      <w:r>
        <w:fldChar w:fldCharType="end"/>
      </w:r>
      <w:bookmarkEnd w:id="2850"/>
      <w:r>
        <w:t xml:space="preserve"> — Создание отчета</w:t>
      </w:r>
    </w:p>
    <w:p w14:paraId="20B62C74">
      <w:pPr>
        <w:pStyle w:val="69"/>
      </w:pPr>
      <w:r>
        <w:t>В поле «Тип отчета» указать тип отчета, выбрав значение в выпадающем списке, например, «</w:t>
      </w:r>
      <w:r>
        <w:rPr>
          <w:lang w:val="en-US"/>
        </w:rPr>
        <w:t>OPF</w:t>
      </w:r>
      <w:r>
        <w:t xml:space="preserve"> – Отчет План-Факт».</w:t>
      </w:r>
    </w:p>
    <w:p w14:paraId="23A25BDF">
      <w:pPr>
        <w:pStyle w:val="69"/>
      </w:pPr>
      <w:r>
        <w:t>Задать параметры формирования отчета, указав значения в обязательных полях:</w:t>
      </w:r>
    </w:p>
    <w:p w14:paraId="26AB3E20">
      <w:pPr>
        <w:pStyle w:val="76"/>
      </w:pPr>
      <w:r>
        <w:t>«Год» — обязательный параметр;</w:t>
      </w:r>
    </w:p>
    <w:p w14:paraId="127B0960">
      <w:pPr>
        <w:pStyle w:val="76"/>
      </w:pPr>
      <w:r>
        <w:t>«ОКТМО» — обязательный параметр;</w:t>
      </w:r>
    </w:p>
    <w:p w14:paraId="168158C3">
      <w:pPr>
        <w:pStyle w:val="76"/>
      </w:pPr>
      <w:r>
        <w:t>«Код МО»</w:t>
      </w:r>
    </w:p>
    <w:p w14:paraId="65C20762">
      <w:r>
        <w:t xml:space="preserve">и нажать кнопку «Сохранить» (рис. </w:t>
      </w:r>
      <w:r>
        <w:fldChar w:fldCharType="begin"/>
      </w:r>
      <w:r>
        <w:instrText xml:space="preserve"> REF  _Ref195100709 \h\#\0   \* MERGEFORMAT </w:instrText>
      </w:r>
      <w:r>
        <w:fldChar w:fldCharType="separate"/>
      </w:r>
      <w:r>
        <w:t>211</w:t>
      </w:r>
      <w:r>
        <w:fldChar w:fldCharType="end"/>
      </w:r>
      <w:r>
        <w:t>).</w:t>
      </w:r>
    </w:p>
    <w:p w14:paraId="5FA2357B">
      <w:pPr>
        <w:pStyle w:val="73"/>
      </w:pPr>
      <w:r>
        <w:drawing>
          <wp:inline distT="0" distB="0" distL="0" distR="0">
            <wp:extent cx="3599815" cy="2607945"/>
            <wp:effectExtent l="19050" t="19050" r="19685" b="20955"/>
            <wp:docPr id="3096818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681873" name="Рисунок 1"/>
                    <pic:cNvPicPr>
                      <a:picLocks noChangeAspect="1"/>
                    </pic:cNvPicPr>
                  </pic:nvPicPr>
                  <pic:blipFill>
                    <a:blip r:embed="rId247"/>
                    <a:stretch>
                      <a:fillRect/>
                    </a:stretch>
                  </pic:blipFill>
                  <pic:spPr>
                    <a:xfrm>
                      <a:off x="0" y="0"/>
                      <a:ext cx="3600000" cy="2608571"/>
                    </a:xfrm>
                    <a:prstGeom prst="rect">
                      <a:avLst/>
                    </a:prstGeom>
                    <a:ln w="3175" cmpd="sng">
                      <a:solidFill>
                        <a:srgbClr val="000000"/>
                      </a:solidFill>
                    </a:ln>
                  </pic:spPr>
                </pic:pic>
              </a:graphicData>
            </a:graphic>
          </wp:inline>
        </w:drawing>
      </w:r>
    </w:p>
    <w:p w14:paraId="6CEAABB0">
      <w:pPr>
        <w:pStyle w:val="74"/>
      </w:pPr>
      <w:bookmarkStart w:id="2851" w:name="_Ref195100709"/>
      <w:r>
        <w:t xml:space="preserve">Рисунок </w:t>
      </w:r>
      <w:r>
        <w:fldChar w:fldCharType="begin"/>
      </w:r>
      <w:r>
        <w:instrText xml:space="preserve"> SEQ Рисунок \* ARABIC </w:instrText>
      </w:r>
      <w:r>
        <w:fldChar w:fldCharType="separate"/>
      </w:r>
      <w:r>
        <w:t>211</w:t>
      </w:r>
      <w:r>
        <w:fldChar w:fldCharType="end"/>
      </w:r>
      <w:bookmarkEnd w:id="2851"/>
      <w:r>
        <w:t xml:space="preserve"> — Создание отчета. Выбор параметров</w:t>
      </w:r>
    </w:p>
    <w:p w14:paraId="2172C337">
      <w:pPr>
        <w:pStyle w:val="69"/>
      </w:pPr>
      <w:r>
        <w:t>После нажатия кнопки «Сохранить» запустится процесс формирования нового отчета. При этом в табличной части раздела «Список отчетов» отобразится новая запись:</w:t>
      </w:r>
    </w:p>
    <w:p w14:paraId="4AB7CCF4">
      <w:pPr>
        <w:pStyle w:val="76"/>
      </w:pPr>
      <w:r>
        <w:t>«Наименование» — тип формируемого отчета;</w:t>
      </w:r>
    </w:p>
    <w:p w14:paraId="083E7A6C">
      <w:pPr>
        <w:pStyle w:val="76"/>
      </w:pPr>
      <w:r>
        <w:t>«Статус» — «Формируется»;</w:t>
      </w:r>
    </w:p>
    <w:p w14:paraId="5FEB232D">
      <w:pPr>
        <w:pStyle w:val="76"/>
      </w:pPr>
      <w:r>
        <w:t>«Дата и время создания» — текущая дата и время;</w:t>
      </w:r>
    </w:p>
    <w:p w14:paraId="5AB15A0D">
      <w:pPr>
        <w:pStyle w:val="76"/>
      </w:pPr>
      <w:r>
        <w:t>«Автор» — учетная запись пользователя, инициировавшего формирование отчета;</w:t>
      </w:r>
    </w:p>
    <w:p w14:paraId="60D8835B">
      <w:pPr>
        <w:pStyle w:val="76"/>
      </w:pPr>
      <w:r>
        <w:t>«Параметры отчета» — активная ссылка для просмотра параметров отчета (регион, отчетный период);</w:t>
      </w:r>
    </w:p>
    <w:p w14:paraId="6D3423B4">
      <w:pPr>
        <w:pStyle w:val="76"/>
      </w:pPr>
      <w:r>
        <w:t>«Удален» — метка удаления отчета «Нет»;</w:t>
      </w:r>
    </w:p>
    <w:p w14:paraId="106C3700">
      <w:pPr>
        <w:pStyle w:val="76"/>
      </w:pPr>
      <w:r>
        <w:t>«Время формирования, мс» — пусто (заполнится по окончании формирования отчета).</w:t>
      </w:r>
    </w:p>
    <w:p w14:paraId="439BF7A8">
      <w:pPr>
        <w:pStyle w:val="69"/>
      </w:pPr>
      <w:r>
        <w:t>Время формирования отчета зависит от объема сведений в отчете. Дождаться завершения процесса.</w:t>
      </w:r>
    </w:p>
    <w:p w14:paraId="27516E42">
      <w:pPr>
        <w:pStyle w:val="69"/>
      </w:pPr>
      <w:r>
        <w:t>По завершении формирования отчета в записи о новом отчете отображаются следующие сведения:</w:t>
      </w:r>
    </w:p>
    <w:p w14:paraId="6EC1F419">
      <w:pPr>
        <w:pStyle w:val="76"/>
      </w:pPr>
      <w:r>
        <w:t>«Статус» — значение изменится на «Сформирован»;</w:t>
      </w:r>
    </w:p>
    <w:p w14:paraId="7C7A43B2">
      <w:pPr>
        <w:pStyle w:val="76"/>
      </w:pPr>
      <w:r>
        <w:t>«Время формирования, мс» — отобразится время формирования;</w:t>
      </w:r>
    </w:p>
    <w:p w14:paraId="4B52FE6B">
      <w:pPr>
        <w:pStyle w:val="76"/>
      </w:pPr>
      <w:r>
        <w:t>«Наименование» — активна ссылка для скачивания отчета.</w:t>
      </w:r>
    </w:p>
    <w:p w14:paraId="1ABBB825">
      <w:pPr>
        <w:pStyle w:val="69"/>
      </w:pPr>
      <w:r>
        <w:t>Сформированный отчет доступен для скачивания и просмотра Плательщику ТФОМС, Куратору по СМО и Куратору МО (по МО в зоне ответственности).</w:t>
      </w:r>
    </w:p>
    <w:p w14:paraId="2802000E">
      <w:pPr>
        <w:pStyle w:val="60"/>
      </w:pPr>
      <w:bookmarkStart w:id="2852" w:name="_Toc225866381"/>
      <w:bookmarkStart w:id="2853" w:name="_Ref202535531"/>
      <w:r>
        <w:t>Поиск и просмотр отчетов по Приказам ФОМС</w:t>
      </w:r>
      <w:bookmarkEnd w:id="2852"/>
      <w:bookmarkEnd w:id="2853"/>
    </w:p>
    <w:p w14:paraId="6FC8EFDA">
      <w:pPr>
        <w:pStyle w:val="69"/>
      </w:pPr>
      <w:r>
        <w:t>Просмотреть отчеты по Приказам ФОМС можно в разделе «Список отчетов».</w:t>
      </w:r>
    </w:p>
    <w:p w14:paraId="2C804C84">
      <w:pPr>
        <w:pStyle w:val="69"/>
      </w:pPr>
      <w:r>
        <w:t xml:space="preserve">Для перехода в раздел в ленте главного меню раскрыть меню «Все разделы» и выбрать пункт «Список отчетов» (рис. </w:t>
      </w:r>
      <w:r>
        <w:fldChar w:fldCharType="begin"/>
      </w:r>
      <w:r>
        <w:instrText xml:space="preserve"> REF  _Ref195097984 \h\#\0   \* MERGEFORMAT </w:instrText>
      </w:r>
      <w:r>
        <w:fldChar w:fldCharType="separate"/>
      </w:r>
      <w:r>
        <w:t>205</w:t>
      </w:r>
      <w:r>
        <w:fldChar w:fldCharType="end"/>
      </w:r>
      <w:r>
        <w:t>).</w:t>
      </w:r>
    </w:p>
    <w:p w14:paraId="510429C9">
      <w:pPr>
        <w:pStyle w:val="73"/>
      </w:pPr>
      <w:r>
        <w:drawing>
          <wp:inline distT="0" distB="0" distL="0" distR="0">
            <wp:extent cx="5399405" cy="2343785"/>
            <wp:effectExtent l="19050" t="19050" r="10795" b="18415"/>
            <wp:docPr id="12606754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675427" name="Рисунок 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a:xfrm>
                      <a:off x="0" y="0"/>
                      <a:ext cx="5400000" cy="2344169"/>
                    </a:xfrm>
                    <a:prstGeom prst="rect">
                      <a:avLst/>
                    </a:prstGeom>
                    <a:noFill/>
                    <a:ln w="3175" cmpd="sng">
                      <a:solidFill>
                        <a:srgbClr val="000000"/>
                      </a:solidFill>
                    </a:ln>
                  </pic:spPr>
                </pic:pic>
              </a:graphicData>
            </a:graphic>
          </wp:inline>
        </w:drawing>
      </w:r>
    </w:p>
    <w:p w14:paraId="27C3E8F3">
      <w:pPr>
        <w:pStyle w:val="74"/>
      </w:pPr>
      <w:r>
        <w:t xml:space="preserve">Рисунок </w:t>
      </w:r>
      <w:r>
        <w:fldChar w:fldCharType="begin"/>
      </w:r>
      <w:r>
        <w:instrText xml:space="preserve"> SEQ Рисунок \* ARABIC </w:instrText>
      </w:r>
      <w:r>
        <w:fldChar w:fldCharType="separate"/>
      </w:r>
      <w:r>
        <w:t>212</w:t>
      </w:r>
      <w:r>
        <w:fldChar w:fldCharType="end"/>
      </w:r>
      <w:r>
        <w:t xml:space="preserve"> — Всплывающее меню «Все разделы». Выбор пункта «Список отчетов»</w:t>
      </w:r>
    </w:p>
    <w:p w14:paraId="21CC7F75">
      <w:pPr>
        <w:pStyle w:val="69"/>
      </w:pPr>
      <w:r>
        <w:t xml:space="preserve">В разделе «Список отчетов» в рабочей области отображается список отчетов и панель фильтрации для поиска отчетов (рис. </w:t>
      </w:r>
      <w:r>
        <w:fldChar w:fldCharType="begin"/>
      </w:r>
      <w:r>
        <w:instrText xml:space="preserve"> REF  _Ref206017804 \h \t\#\0   \* MERGEFORMAT </w:instrText>
      </w:r>
      <w:r>
        <w:fldChar w:fldCharType="separate"/>
      </w:r>
      <w:r>
        <w:t>213</w:t>
      </w:r>
      <w:r>
        <w:fldChar w:fldCharType="end"/>
      </w:r>
      <w:r>
        <w:t>).</w:t>
      </w:r>
    </w:p>
    <w:p w14:paraId="3D42626D">
      <w:pPr>
        <w:pStyle w:val="69"/>
      </w:pPr>
      <w:r>
        <w:t>В информационной строке отображается:</w:t>
      </w:r>
    </w:p>
    <w:p w14:paraId="36C6CEE8">
      <w:pPr>
        <w:pStyle w:val="76"/>
      </w:pPr>
      <w:r>
        <w:t>наименование раздела — «Список отчетов»;</w:t>
      </w:r>
    </w:p>
    <w:p w14:paraId="03FC75EC">
      <w:pPr>
        <w:pStyle w:val="76"/>
      </w:pPr>
      <w:r>
        <w:t>количество найденных записей;</w:t>
      </w:r>
    </w:p>
    <w:p w14:paraId="074497D5">
      <w:pPr>
        <w:pStyle w:val="76"/>
      </w:pPr>
      <w:r>
        <w:t xml:space="preserve">кнопка </w:t>
      </w:r>
      <w:r>
        <w:drawing>
          <wp:inline distT="0" distB="0" distL="0" distR="0">
            <wp:extent cx="179705" cy="197485"/>
            <wp:effectExtent l="19050" t="19050" r="10795" b="12065"/>
            <wp:docPr id="5375366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536636" name="Рисунок 1"/>
                    <pic:cNvPicPr>
                      <a:picLocks noChangeAspect="1"/>
                    </pic:cNvPicPr>
                  </pic:nvPicPr>
                  <pic:blipFill>
                    <a:blip r:embed="rId239"/>
                    <a:stretch>
                      <a:fillRect/>
                    </a:stretch>
                  </pic:blipFill>
                  <pic:spPr>
                    <a:xfrm>
                      <a:off x="0" y="0"/>
                      <a:ext cx="180000" cy="197999"/>
                    </a:xfrm>
                    <a:prstGeom prst="rect">
                      <a:avLst/>
                    </a:prstGeom>
                    <a:ln w="3175" cmpd="sng">
                      <a:solidFill>
                        <a:srgbClr val="000000"/>
                      </a:solidFill>
                    </a:ln>
                  </pic:spPr>
                </pic:pic>
              </a:graphicData>
            </a:graphic>
          </wp:inline>
        </w:drawing>
      </w:r>
      <w:r>
        <w:t xml:space="preserve"> «Обновить»;</w:t>
      </w:r>
    </w:p>
    <w:p w14:paraId="6D818996">
      <w:pPr>
        <w:pStyle w:val="76"/>
      </w:pPr>
      <w:r>
        <w:t xml:space="preserve">кнопка </w:t>
      </w:r>
      <w:r>
        <w:drawing>
          <wp:inline distT="0" distB="0" distL="0" distR="0">
            <wp:extent cx="719455" cy="190500"/>
            <wp:effectExtent l="19050" t="19050" r="23495" b="19050"/>
            <wp:docPr id="1600580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58001" name="Рисунок 1"/>
                    <pic:cNvPicPr>
                      <a:picLocks noChangeAspect="1"/>
                    </pic:cNvPicPr>
                  </pic:nvPicPr>
                  <pic:blipFill>
                    <a:blip r:embed="rId240"/>
                    <a:stretch>
                      <a:fillRect/>
                    </a:stretch>
                  </pic:blipFill>
                  <pic:spPr>
                    <a:xfrm>
                      <a:off x="0" y="0"/>
                      <a:ext cx="720000" cy="190588"/>
                    </a:xfrm>
                    <a:prstGeom prst="rect">
                      <a:avLst/>
                    </a:prstGeom>
                    <a:ln w="3175" cmpd="sng">
                      <a:solidFill>
                        <a:srgbClr val="000000"/>
                      </a:solidFill>
                    </a:ln>
                  </pic:spPr>
                </pic:pic>
              </a:graphicData>
            </a:graphic>
          </wp:inline>
        </w:drawing>
      </w:r>
      <w:r>
        <w:t xml:space="preserve"> «+ Новый отчет» — активна для роли Плательщик ТФОМС.</w:t>
      </w:r>
    </w:p>
    <w:p w14:paraId="1D883D13">
      <w:pPr>
        <w:pStyle w:val="73"/>
      </w:pPr>
      <w:r>
        <w:drawing>
          <wp:inline distT="0" distB="0" distL="0" distR="0">
            <wp:extent cx="6119495" cy="2419350"/>
            <wp:effectExtent l="19050" t="19050" r="14605" b="19050"/>
            <wp:docPr id="3062138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213839" name="Рисунок 1"/>
                    <pic:cNvPicPr>
                      <a:picLocks noChangeAspect="1"/>
                    </pic:cNvPicPr>
                  </pic:nvPicPr>
                  <pic:blipFill>
                    <a:blip r:embed="rId238"/>
                    <a:stretch>
                      <a:fillRect/>
                    </a:stretch>
                  </pic:blipFill>
                  <pic:spPr>
                    <a:xfrm>
                      <a:off x="0" y="0"/>
                      <a:ext cx="6119495" cy="2419350"/>
                    </a:xfrm>
                    <a:prstGeom prst="rect">
                      <a:avLst/>
                    </a:prstGeom>
                    <a:ln w="3175" cmpd="sng">
                      <a:solidFill>
                        <a:srgbClr val="000000"/>
                      </a:solidFill>
                    </a:ln>
                  </pic:spPr>
                </pic:pic>
              </a:graphicData>
            </a:graphic>
          </wp:inline>
        </w:drawing>
      </w:r>
    </w:p>
    <w:p w14:paraId="0E9BC5DE">
      <w:pPr>
        <w:pStyle w:val="74"/>
      </w:pPr>
      <w:bookmarkStart w:id="2854" w:name="_Ref206017804"/>
      <w:r>
        <w:t xml:space="preserve">Рисунок </w:t>
      </w:r>
      <w:r>
        <w:fldChar w:fldCharType="begin"/>
      </w:r>
      <w:r>
        <w:instrText xml:space="preserve"> SEQ Рисунок \* ARABIC </w:instrText>
      </w:r>
      <w:r>
        <w:fldChar w:fldCharType="separate"/>
      </w:r>
      <w:r>
        <w:t>213</w:t>
      </w:r>
      <w:r>
        <w:fldChar w:fldCharType="end"/>
      </w:r>
      <w:bookmarkEnd w:id="2854"/>
      <w:r>
        <w:t xml:space="preserve"> — Раздел «Список отчетов»</w:t>
      </w:r>
    </w:p>
    <w:p w14:paraId="09027F76">
      <w:pPr>
        <w:pStyle w:val="69"/>
      </w:pPr>
      <w:r>
        <w:t>В блоке «Фильтр» доступен выбор отображения отчетов путем изменения положения переключателей:</w:t>
      </w:r>
    </w:p>
    <w:p w14:paraId="3FE092FB">
      <w:pPr>
        <w:pStyle w:val="76"/>
      </w:pPr>
      <w:r>
        <w:t>«Только мои» —по умолчанию в активном положении;</w:t>
      </w:r>
    </w:p>
    <w:p w14:paraId="25737B1B">
      <w:pPr>
        <w:pStyle w:val="76"/>
      </w:pPr>
      <w:r>
        <w:t>«Учитывать удаленные» — по умолчанию не активен. Активация переключателя позволяет просматривать отчеты, которые были удалены.</w:t>
      </w:r>
    </w:p>
    <w:p w14:paraId="5A467F11">
      <w:pPr>
        <w:pStyle w:val="69"/>
      </w:pPr>
      <w:r>
        <w:t>Поиск отчетов возможен по параметрам:</w:t>
      </w:r>
    </w:p>
    <w:p w14:paraId="210DD684">
      <w:pPr>
        <w:pStyle w:val="76"/>
      </w:pPr>
      <w:r>
        <w:t xml:space="preserve">«Отчет» — выбор типа отчета (рис. </w:t>
      </w:r>
      <w:r>
        <w:fldChar w:fldCharType="begin"/>
      </w:r>
      <w:r>
        <w:instrText xml:space="preserve"> REF  _Ref206017828 \h \t\#\0   \* MERGEFORMAT </w:instrText>
      </w:r>
      <w:r>
        <w:fldChar w:fldCharType="separate"/>
      </w:r>
      <w:r>
        <w:t>214</w:t>
      </w:r>
      <w:r>
        <w:fldChar w:fldCharType="end"/>
      </w:r>
      <w:r>
        <w:t>).</w:t>
      </w:r>
    </w:p>
    <w:p w14:paraId="2AEB3D07">
      <w:pPr>
        <w:pStyle w:val="76"/>
      </w:pPr>
      <w:r>
        <w:t>«Автор» — выбор инициатора формирования отчета;</w:t>
      </w:r>
    </w:p>
    <w:p w14:paraId="1D9107EE">
      <w:pPr>
        <w:pStyle w:val="76"/>
      </w:pPr>
      <w:r>
        <w:t>«Статус» — текущее состояние. Возможные варианты:</w:t>
      </w:r>
    </w:p>
    <w:p w14:paraId="5FE9F124">
      <w:pPr>
        <w:pStyle w:val="78"/>
      </w:pPr>
      <w:r>
        <w:t>«Ошибка»,</w:t>
      </w:r>
    </w:p>
    <w:p w14:paraId="2CD4D2B3">
      <w:pPr>
        <w:pStyle w:val="78"/>
      </w:pPr>
      <w:r>
        <w:t>«Сформирован»,</w:t>
      </w:r>
    </w:p>
    <w:p w14:paraId="7BA3EC4C">
      <w:pPr>
        <w:pStyle w:val="78"/>
      </w:pPr>
      <w:r>
        <w:t>«Формируется»;</w:t>
      </w:r>
    </w:p>
    <w:p w14:paraId="5AAD268E">
      <w:pPr>
        <w:pStyle w:val="76"/>
      </w:pPr>
      <w:r>
        <w:t>«Дата создания с» — выбор даты в формате дд.мм.гггг;</w:t>
      </w:r>
    </w:p>
    <w:p w14:paraId="3FACF4AC">
      <w:pPr>
        <w:pStyle w:val="76"/>
      </w:pPr>
      <w:r>
        <w:t>«Дата создания по» — выбор даты в формате дд.мм.гггг.</w:t>
      </w:r>
    </w:p>
    <w:p w14:paraId="69333137">
      <w:pPr>
        <w:pStyle w:val="73"/>
      </w:pPr>
      <w:r>
        <w:drawing>
          <wp:inline distT="0" distB="0" distL="0" distR="0">
            <wp:extent cx="2159635" cy="3792220"/>
            <wp:effectExtent l="19050" t="19050" r="12065" b="17780"/>
            <wp:docPr id="11231704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170420" name="Рисунок 1"/>
                    <pic:cNvPicPr>
                      <a:picLocks noChangeAspect="1"/>
                    </pic:cNvPicPr>
                  </pic:nvPicPr>
                  <pic:blipFill>
                    <a:blip r:embed="rId249"/>
                    <a:stretch>
                      <a:fillRect/>
                    </a:stretch>
                  </pic:blipFill>
                  <pic:spPr>
                    <a:xfrm>
                      <a:off x="0" y="0"/>
                      <a:ext cx="2160000" cy="3792313"/>
                    </a:xfrm>
                    <a:prstGeom prst="rect">
                      <a:avLst/>
                    </a:prstGeom>
                    <a:ln w="3175" cmpd="sng">
                      <a:solidFill>
                        <a:srgbClr val="000000"/>
                      </a:solidFill>
                    </a:ln>
                  </pic:spPr>
                </pic:pic>
              </a:graphicData>
            </a:graphic>
          </wp:inline>
        </w:drawing>
      </w:r>
    </w:p>
    <w:p w14:paraId="6BF3F6CD">
      <w:pPr>
        <w:pStyle w:val="74"/>
      </w:pPr>
      <w:bookmarkStart w:id="2855" w:name="_Ref206017828"/>
      <w:r>
        <w:t xml:space="preserve">Рисунок </w:t>
      </w:r>
      <w:r>
        <w:fldChar w:fldCharType="begin"/>
      </w:r>
      <w:r>
        <w:instrText xml:space="preserve"> SEQ Рисунок \* ARABIC </w:instrText>
      </w:r>
      <w:r>
        <w:fldChar w:fldCharType="separate"/>
      </w:r>
      <w:r>
        <w:t>214</w:t>
      </w:r>
      <w:r>
        <w:fldChar w:fldCharType="end"/>
      </w:r>
      <w:bookmarkEnd w:id="2855"/>
      <w:r>
        <w:t xml:space="preserve"> — Поиск отчетов</w:t>
      </w:r>
    </w:p>
    <w:p w14:paraId="094FFEED">
      <w:pPr>
        <w:pStyle w:val="69"/>
      </w:pPr>
      <w:r>
        <w:t>После нажатия кнопки «Найти» в панели «Фильтр» в рабочей области отобразится список отчетов, удовлетворяющих заданным критериям поиска. Количество найденных отчетов отображается в информационной строке в поле «Найдено».</w:t>
      </w:r>
    </w:p>
    <w:p w14:paraId="5CF385AA">
      <w:pPr>
        <w:pStyle w:val="69"/>
      </w:pPr>
      <w:r>
        <w:t>Табличная часть содержит основные сведения в следующих столбцах:</w:t>
      </w:r>
    </w:p>
    <w:p w14:paraId="055BB41C">
      <w:pPr>
        <w:pStyle w:val="76"/>
      </w:pPr>
      <w:r>
        <w:t>Порядковый номер записи;</w:t>
      </w:r>
    </w:p>
    <w:p w14:paraId="2A19587C">
      <w:pPr>
        <w:pStyle w:val="76"/>
      </w:pPr>
      <w:r>
        <w:t>«Наименование» — наименование типа отчета. Активная ссылка для скачивания отчета;</w:t>
      </w:r>
    </w:p>
    <w:p w14:paraId="29645D5F">
      <w:pPr>
        <w:pStyle w:val="76"/>
      </w:pPr>
      <w:r>
        <w:t>«Статус» — текущее состояние;</w:t>
      </w:r>
    </w:p>
    <w:p w14:paraId="0A5ED491">
      <w:pPr>
        <w:pStyle w:val="76"/>
      </w:pPr>
      <w:r>
        <w:t>«Дата и время создания» — дата и время создания отчета в формате дд.мм.гггг ЧЧ.ММ.МС;</w:t>
      </w:r>
    </w:p>
    <w:p w14:paraId="730D63FD">
      <w:pPr>
        <w:pStyle w:val="76"/>
      </w:pPr>
      <w:r>
        <w:t>«Дата и время удаления» — дата и время удаления отчета в формате дд.мм.гггг ЧЧ.ММ.МС;</w:t>
      </w:r>
    </w:p>
    <w:p w14:paraId="63C1CC48">
      <w:pPr>
        <w:pStyle w:val="76"/>
      </w:pPr>
      <w:r>
        <w:t>«Автор» — учетная запись пользователя, инициировавшего формирование отчета;</w:t>
      </w:r>
    </w:p>
    <w:p w14:paraId="1CC6CB3D">
      <w:pPr>
        <w:pStyle w:val="76"/>
      </w:pPr>
      <w:r>
        <w:t>«Параметры отчета» — активная ссылка для просмотра параметров отчета;</w:t>
      </w:r>
    </w:p>
    <w:p w14:paraId="116F97EA">
      <w:pPr>
        <w:pStyle w:val="76"/>
      </w:pPr>
      <w:r>
        <w:t>«Удален» — маркер удаления записи: «Да»/»Нет»;</w:t>
      </w:r>
    </w:p>
    <w:p w14:paraId="01239AB1">
      <w:pPr>
        <w:pStyle w:val="76"/>
      </w:pPr>
      <w:r>
        <w:t>«Время формирования, мс;</w:t>
      </w:r>
    </w:p>
    <w:p w14:paraId="4DF231FF">
      <w:pPr>
        <w:pStyle w:val="76"/>
      </w:pPr>
      <w:r>
        <w:t xml:space="preserve">элемент </w:t>
      </w:r>
      <w:r>
        <w:drawing>
          <wp:inline distT="0" distB="0" distL="0" distR="0">
            <wp:extent cx="257175" cy="238125"/>
            <wp:effectExtent l="19050" t="19050" r="28575" b="28575"/>
            <wp:docPr id="3610954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095499" name="Рисунок 1"/>
                    <pic:cNvPicPr>
                      <a:picLocks noChangeAspect="1"/>
                    </pic:cNvPicPr>
                  </pic:nvPicPr>
                  <pic:blipFill>
                    <a:blip r:embed="rId244"/>
                    <a:stretch>
                      <a:fillRect/>
                    </a:stretch>
                  </pic:blipFill>
                  <pic:spPr>
                    <a:xfrm>
                      <a:off x="0" y="0"/>
                      <a:ext cx="257211" cy="238158"/>
                    </a:xfrm>
                    <a:prstGeom prst="rect">
                      <a:avLst/>
                    </a:prstGeom>
                    <a:ln w="3175" cmpd="sng">
                      <a:solidFill>
                        <a:srgbClr val="000000"/>
                      </a:solidFill>
                    </a:ln>
                  </pic:spPr>
                </pic:pic>
              </a:graphicData>
            </a:graphic>
          </wp:inline>
        </w:drawing>
      </w:r>
      <w:r>
        <w:t xml:space="preserve"> «Настройка» — управление настройкой отображения столбцов и удаления записи.</w:t>
      </w:r>
    </w:p>
    <w:p w14:paraId="20983783">
      <w:pPr>
        <w:pStyle w:val="69"/>
      </w:pPr>
      <w:r>
        <w:t xml:space="preserve">Чтобы просмотреть отчет, выбрать строку записи и нажать активную ссылку в поле «Наименование» для скачивания отчета. </w:t>
      </w:r>
      <w:r>
        <w:rPr>
          <w:lang w:val="en-US"/>
        </w:rPr>
        <w:t>ZIP</w:t>
      </w:r>
      <w:r>
        <w:t>-архив с файлами автоматически скачивается локально в папку «Загрузки». Имя архива содержит код тип отчета, дату и время формирования в формате ГГГГ-ММ-ДД-ЧЧ-ММ-МСМС.</w:t>
      </w:r>
    </w:p>
    <w:p w14:paraId="0A965B88">
      <w:pPr>
        <w:pStyle w:val="69"/>
      </w:pPr>
      <w:r>
        <w:t xml:space="preserve">Распаковать сохраненный </w:t>
      </w:r>
      <w:r>
        <w:rPr>
          <w:lang w:val="en-US"/>
        </w:rPr>
        <w:t>ZIP</w:t>
      </w:r>
      <w:r>
        <w:t xml:space="preserve">-архив. В составе архива присутствуют </w:t>
      </w:r>
      <w:r>
        <w:rPr>
          <w:lang w:val="en-US"/>
        </w:rPr>
        <w:t>XML</w:t>
      </w:r>
      <w:r>
        <w:t>-файлы со сведениями, соответствующими выбранному типу отчета.</w:t>
      </w:r>
    </w:p>
    <w:p w14:paraId="45423A10">
      <w:pPr>
        <w:pStyle w:val="69"/>
      </w:pPr>
      <w:r>
        <w:t>Пример содержания архива с отчетом по Приказу 260 (</w:t>
      </w:r>
      <w:r>
        <w:rPr>
          <w:lang w:val="en-US"/>
        </w:rPr>
        <w:t>P</w:t>
      </w:r>
      <w:r>
        <w:t xml:space="preserve"> – 260) приведен на рисунке </w:t>
      </w:r>
      <w:r>
        <w:fldChar w:fldCharType="begin"/>
      </w:r>
      <w:r>
        <w:instrText xml:space="preserve"> REF  _Ref202536309 \h\#\0   \* MERGEFORMAT </w:instrText>
      </w:r>
      <w:r>
        <w:fldChar w:fldCharType="separate"/>
      </w:r>
      <w:r>
        <w:t>215</w:t>
      </w:r>
      <w:r>
        <w:fldChar w:fldCharType="end"/>
      </w:r>
      <w:r>
        <w:t>.</w:t>
      </w:r>
    </w:p>
    <w:p w14:paraId="18BA407F">
      <w:pPr>
        <w:pStyle w:val="69"/>
      </w:pPr>
      <w:r>
        <w:t xml:space="preserve">Подробное описание работы с файлами формата </w:t>
      </w:r>
      <w:r>
        <w:rPr>
          <w:lang w:val="en-US"/>
        </w:rPr>
        <w:t>XML</w:t>
      </w:r>
      <w:r>
        <w:t xml:space="preserve"> и </w:t>
      </w:r>
      <w:r>
        <w:rPr>
          <w:lang w:val="en-US"/>
        </w:rPr>
        <w:t>CSV</w:t>
      </w:r>
      <w:r>
        <w:t xml:space="preserve"> приведено в Приложении </w:t>
      </w:r>
      <w:r>
        <w:fldChar w:fldCharType="begin"/>
      </w:r>
      <w:r>
        <w:instrText xml:space="preserve"> REF  _Ref184982730 \h \n \t  \* MERGEFORMAT </w:instrText>
      </w:r>
      <w:r>
        <w:fldChar w:fldCharType="separate"/>
      </w:r>
      <w:r>
        <w:t>В</w:t>
      </w:r>
      <w:r>
        <w:fldChar w:fldCharType="end"/>
      </w:r>
      <w:r>
        <w:t>.</w:t>
      </w:r>
    </w:p>
    <w:p w14:paraId="3C4902F5">
      <w:pPr>
        <w:pStyle w:val="73"/>
        <w:rPr>
          <w:lang w:val="en-US"/>
        </w:rPr>
      </w:pPr>
      <w:r>
        <w:drawing>
          <wp:inline distT="0" distB="0" distL="0" distR="0">
            <wp:extent cx="1799590" cy="2216785"/>
            <wp:effectExtent l="19050" t="19050" r="10160" b="12065"/>
            <wp:docPr id="5460233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023399" name="Рисунок 1"/>
                    <pic:cNvPicPr>
                      <a:picLocks noChangeAspect="1"/>
                    </pic:cNvPicPr>
                  </pic:nvPicPr>
                  <pic:blipFill>
                    <a:blip r:embed="rId250"/>
                    <a:stretch>
                      <a:fillRect/>
                    </a:stretch>
                  </pic:blipFill>
                  <pic:spPr>
                    <a:xfrm>
                      <a:off x="0" y="0"/>
                      <a:ext cx="1800000" cy="2216843"/>
                    </a:xfrm>
                    <a:prstGeom prst="rect">
                      <a:avLst/>
                    </a:prstGeom>
                    <a:ln w="3175" cmpd="sng">
                      <a:solidFill>
                        <a:srgbClr val="000000"/>
                      </a:solidFill>
                    </a:ln>
                  </pic:spPr>
                </pic:pic>
              </a:graphicData>
            </a:graphic>
          </wp:inline>
        </w:drawing>
      </w:r>
    </w:p>
    <w:p w14:paraId="58033B08">
      <w:pPr>
        <w:pStyle w:val="74"/>
      </w:pPr>
      <w:bookmarkStart w:id="2856" w:name="_Ref202536309"/>
      <w:r>
        <w:t xml:space="preserve">Рисунок </w:t>
      </w:r>
      <w:r>
        <w:fldChar w:fldCharType="begin"/>
      </w:r>
      <w:r>
        <w:instrText xml:space="preserve"> SEQ Рисунок \* ARABIC </w:instrText>
      </w:r>
      <w:r>
        <w:fldChar w:fldCharType="separate"/>
      </w:r>
      <w:r>
        <w:t>215</w:t>
      </w:r>
      <w:r>
        <w:fldChar w:fldCharType="end"/>
      </w:r>
      <w:bookmarkEnd w:id="2856"/>
      <w:r>
        <w:t xml:space="preserve"> — Пример отчета по Приказу 260</w:t>
      </w:r>
    </w:p>
    <w:p w14:paraId="09CA818B">
      <w:pPr>
        <w:pStyle w:val="60"/>
      </w:pPr>
      <w:bookmarkStart w:id="2857" w:name="_Toc225866382"/>
      <w:bookmarkStart w:id="2858" w:name="_Ref202535535"/>
      <w:r>
        <w:t>Запрос на формирование отчетов по Приказам ФОМС</w:t>
      </w:r>
      <w:bookmarkEnd w:id="2857"/>
      <w:bookmarkEnd w:id="2858"/>
    </w:p>
    <w:p w14:paraId="6226B774">
      <w:pPr>
        <w:pStyle w:val="69"/>
      </w:pPr>
      <w:r>
        <w:t>Формирование отчетов о фактически оказанной медицинской помощи по Приказам ФОМС осуществляется в подсистеме «Управленческие сервисы» ГИС ОМС (далее — УС) по запросу из ФПУМП.</w:t>
      </w:r>
    </w:p>
    <w:p w14:paraId="38D85709">
      <w:pPr>
        <w:pStyle w:val="69"/>
      </w:pPr>
      <w:r>
        <w:t>Запрос на формирование отчета в УС осуществляется в разделе «Список отчетов».</w:t>
      </w:r>
    </w:p>
    <w:p w14:paraId="5E8FCE2F">
      <w:pPr>
        <w:pStyle w:val="69"/>
      </w:pPr>
      <w:r>
        <w:t>Операция доступна пользователю с ролью Плательщик ТФОМС.</w:t>
      </w:r>
    </w:p>
    <w:p w14:paraId="4DE5B9B7">
      <w:pPr>
        <w:pStyle w:val="69"/>
      </w:pPr>
      <w:r>
        <w:t xml:space="preserve">Для перехода в раздел в ленте главного меню раскрыть меню «Все разделы» и выбрать пункт «Список отчетов» (рис. </w:t>
      </w:r>
      <w:r>
        <w:fldChar w:fldCharType="begin"/>
      </w:r>
      <w:r>
        <w:instrText xml:space="preserve"> REF  _Ref195097984 \h\#\0   \* MERGEFORMAT </w:instrText>
      </w:r>
      <w:r>
        <w:fldChar w:fldCharType="separate"/>
      </w:r>
      <w:r>
        <w:t>205</w:t>
      </w:r>
      <w:r>
        <w:fldChar w:fldCharType="end"/>
      </w:r>
      <w:r>
        <w:t>).</w:t>
      </w:r>
    </w:p>
    <w:p w14:paraId="011276C1">
      <w:pPr>
        <w:pStyle w:val="69"/>
      </w:pPr>
      <w:r>
        <w:t>Для формирования запроса на получение отчета из УС необходимо нажать кнопку «+ Новый отчет». Отобразится форма «Создание отчета» (рис. </w:t>
      </w:r>
      <w:r>
        <w:fldChar w:fldCharType="begin"/>
      </w:r>
      <w:r>
        <w:instrText xml:space="preserve"> REF  _Ref206017891 \h \#\0 \* MERGEFORMAT </w:instrText>
      </w:r>
      <w:r>
        <w:fldChar w:fldCharType="separate"/>
      </w:r>
      <w:r>
        <w:t>216</w:t>
      </w:r>
      <w:r>
        <w:fldChar w:fldCharType="end"/>
      </w:r>
      <w:r>
        <w:t>) с атрибутами «Тип отчета», кнопка «Отмена» и «Сохранить».</w:t>
      </w:r>
    </w:p>
    <w:p w14:paraId="3C62725A">
      <w:pPr>
        <w:pStyle w:val="73"/>
      </w:pPr>
      <w:r>
        <w:drawing>
          <wp:inline distT="0" distB="0" distL="0" distR="0">
            <wp:extent cx="6119495" cy="1994535"/>
            <wp:effectExtent l="19050" t="19050" r="14605" b="24765"/>
            <wp:docPr id="5039550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955031" name="Рисунок 1"/>
                    <pic:cNvPicPr>
                      <a:picLocks noChangeAspect="1"/>
                    </pic:cNvPicPr>
                  </pic:nvPicPr>
                  <pic:blipFill>
                    <a:blip r:embed="rId246"/>
                    <a:stretch>
                      <a:fillRect/>
                    </a:stretch>
                  </pic:blipFill>
                  <pic:spPr>
                    <a:xfrm>
                      <a:off x="0" y="0"/>
                      <a:ext cx="6119495" cy="1994535"/>
                    </a:xfrm>
                    <a:prstGeom prst="rect">
                      <a:avLst/>
                    </a:prstGeom>
                    <a:ln w="3175" cmpd="sng">
                      <a:solidFill>
                        <a:srgbClr val="000000"/>
                      </a:solidFill>
                    </a:ln>
                  </pic:spPr>
                </pic:pic>
              </a:graphicData>
            </a:graphic>
          </wp:inline>
        </w:drawing>
      </w:r>
    </w:p>
    <w:p w14:paraId="27C9AEEE">
      <w:pPr>
        <w:pStyle w:val="74"/>
      </w:pPr>
      <w:bookmarkStart w:id="2859" w:name="_Ref206017891"/>
      <w:r>
        <w:t xml:space="preserve">Рисунок </w:t>
      </w:r>
      <w:r>
        <w:fldChar w:fldCharType="begin"/>
      </w:r>
      <w:r>
        <w:instrText xml:space="preserve"> SEQ Рисунок \* ARABIC </w:instrText>
      </w:r>
      <w:r>
        <w:fldChar w:fldCharType="separate"/>
      </w:r>
      <w:r>
        <w:t>216</w:t>
      </w:r>
      <w:r>
        <w:fldChar w:fldCharType="end"/>
      </w:r>
      <w:bookmarkEnd w:id="2859"/>
      <w:r>
        <w:t xml:space="preserve"> — Создание отчета</w:t>
      </w:r>
    </w:p>
    <w:p w14:paraId="7F48A34B">
      <w:pPr>
        <w:pStyle w:val="69"/>
      </w:pPr>
      <w:r>
        <w:t>В поле «Тип отчета» указать тип отчета, выбрав значение в выпадающем списке. Например, «</w:t>
      </w:r>
      <w:r>
        <w:rPr>
          <w:lang w:val="en-US"/>
        </w:rPr>
        <w:t>P</w:t>
      </w:r>
      <w:r>
        <w:t>260– Отчет по Приказу 260».</w:t>
      </w:r>
    </w:p>
    <w:p w14:paraId="5F2C63DF">
      <w:pPr>
        <w:pStyle w:val="69"/>
      </w:pPr>
      <w:r>
        <w:t>В блоке «Параметры отчета» в поле «Регион» по умолчанию отображается код и наименование территории по справочнику ФОМС (</w:t>
      </w:r>
      <w:r>
        <w:rPr>
          <w:lang w:val="en-US"/>
        </w:rPr>
        <w:t>F</w:t>
      </w:r>
      <w:r>
        <w:t xml:space="preserve">010) (рис. </w:t>
      </w:r>
      <w:r>
        <w:fldChar w:fldCharType="begin"/>
      </w:r>
      <w:r>
        <w:instrText xml:space="preserve"> REF  _Ref206017899 \h \#\0 \* MERGEFORMAT </w:instrText>
      </w:r>
      <w:r>
        <w:fldChar w:fldCharType="separate"/>
      </w:r>
      <w:r>
        <w:t>217</w:t>
      </w:r>
      <w:r>
        <w:fldChar w:fldCharType="end"/>
      </w:r>
      <w:r>
        <w:t>).</w:t>
      </w:r>
    </w:p>
    <w:p w14:paraId="7A810E36">
      <w:pPr>
        <w:pStyle w:val="69"/>
      </w:pPr>
      <w:r>
        <w:t>Указать в обязательном поле «Отчетный период» год и месяц, выбрав значение в раскрывающемся списке и нажать кнопку «Сохранить».</w:t>
      </w:r>
    </w:p>
    <w:p w14:paraId="440B31B7">
      <w:pPr>
        <w:pStyle w:val="73"/>
      </w:pPr>
      <w:r>
        <w:drawing>
          <wp:inline distT="0" distB="0" distL="0" distR="0">
            <wp:extent cx="3599815" cy="2444115"/>
            <wp:effectExtent l="19050" t="19050" r="19685" b="13335"/>
            <wp:docPr id="12837597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759786" name="Рисунок 1"/>
                    <pic:cNvPicPr>
                      <a:picLocks noChangeAspect="1"/>
                    </pic:cNvPicPr>
                  </pic:nvPicPr>
                  <pic:blipFill>
                    <a:blip r:embed="rId251"/>
                    <a:stretch>
                      <a:fillRect/>
                    </a:stretch>
                  </pic:blipFill>
                  <pic:spPr>
                    <a:xfrm>
                      <a:off x="0" y="0"/>
                      <a:ext cx="3600000" cy="2444578"/>
                    </a:xfrm>
                    <a:prstGeom prst="rect">
                      <a:avLst/>
                    </a:prstGeom>
                    <a:ln w="3175" cmpd="sng">
                      <a:solidFill>
                        <a:srgbClr val="000000"/>
                      </a:solidFill>
                    </a:ln>
                  </pic:spPr>
                </pic:pic>
              </a:graphicData>
            </a:graphic>
          </wp:inline>
        </w:drawing>
      </w:r>
    </w:p>
    <w:p w14:paraId="7C7F1C4F">
      <w:pPr>
        <w:pStyle w:val="74"/>
      </w:pPr>
      <w:bookmarkStart w:id="2860" w:name="_Ref206017899"/>
      <w:r>
        <w:t xml:space="preserve">Рисунок </w:t>
      </w:r>
      <w:r>
        <w:fldChar w:fldCharType="begin"/>
      </w:r>
      <w:r>
        <w:instrText xml:space="preserve"> SEQ Рисунок \* ARABIC </w:instrText>
      </w:r>
      <w:r>
        <w:fldChar w:fldCharType="separate"/>
      </w:r>
      <w:r>
        <w:t>217</w:t>
      </w:r>
      <w:r>
        <w:fldChar w:fldCharType="end"/>
      </w:r>
      <w:bookmarkEnd w:id="2860"/>
      <w:r>
        <w:t xml:space="preserve"> — Выбор параметров для запроса на формирование Отчета по Приказу ФОМС</w:t>
      </w:r>
    </w:p>
    <w:p w14:paraId="336DF2F1">
      <w:pPr>
        <w:pStyle w:val="69"/>
      </w:pPr>
      <w:r>
        <w:t>После нажатия кнопки «Сохранить» запрос автоматически передается в УС для формирования нового отчета. При этом в табличной части раздела «Список отчетов» отобразится новая запись:</w:t>
      </w:r>
    </w:p>
    <w:p w14:paraId="1C0DE54A">
      <w:pPr>
        <w:pStyle w:val="76"/>
      </w:pPr>
      <w:r>
        <w:t>«Наименование» — тип формируемого отчета;</w:t>
      </w:r>
    </w:p>
    <w:p w14:paraId="5C220446">
      <w:pPr>
        <w:pStyle w:val="76"/>
      </w:pPr>
      <w:r>
        <w:t>«Статус» — «Формируется»;</w:t>
      </w:r>
    </w:p>
    <w:p w14:paraId="200ADAB5">
      <w:pPr>
        <w:pStyle w:val="76"/>
      </w:pPr>
      <w:r>
        <w:t>«Дата и время создания» — текущая дата и время;</w:t>
      </w:r>
    </w:p>
    <w:p w14:paraId="5B750D19">
      <w:pPr>
        <w:pStyle w:val="76"/>
      </w:pPr>
      <w:r>
        <w:t>«Автор» — учетная запись пользователя, инициировавшего формирование отчета;</w:t>
      </w:r>
    </w:p>
    <w:p w14:paraId="34844C87">
      <w:pPr>
        <w:pStyle w:val="76"/>
      </w:pPr>
      <w:r>
        <w:t>«Параметры отчета» — активная ссылка для просмотра параметров отчета (регион, отчетный период);</w:t>
      </w:r>
    </w:p>
    <w:p w14:paraId="5278A5B8">
      <w:pPr>
        <w:pStyle w:val="76"/>
      </w:pPr>
      <w:r>
        <w:t>«Удален» — метка удаления отчета «Нет»;</w:t>
      </w:r>
    </w:p>
    <w:p w14:paraId="797A530A">
      <w:pPr>
        <w:pStyle w:val="76"/>
      </w:pPr>
      <w:r>
        <w:t>«Время формирования, мс» — пусто (заполнится по окончании формирования отчета).</w:t>
      </w:r>
    </w:p>
    <w:p w14:paraId="64D0A69C">
      <w:pPr>
        <w:pStyle w:val="69"/>
      </w:pPr>
      <w:r>
        <w:t>Время формирования отчета в УС и отображения полученного архива с отчетом в ФПУМП зависит от объема сведений в отчете.</w:t>
      </w:r>
    </w:p>
    <w:p w14:paraId="339491CE">
      <w:pPr>
        <w:pStyle w:val="69"/>
      </w:pPr>
      <w:r>
        <w:t>По завершении процесса формирования отчета в УС и получения его в ФПУМП в записи о новом отчете отобразятся следующие сведения:</w:t>
      </w:r>
    </w:p>
    <w:p w14:paraId="65AA4B39">
      <w:pPr>
        <w:pStyle w:val="76"/>
      </w:pPr>
      <w:r>
        <w:t>«Статус» — значение изменится на «Сформирован»;</w:t>
      </w:r>
    </w:p>
    <w:p w14:paraId="5114BD2C">
      <w:pPr>
        <w:pStyle w:val="76"/>
      </w:pPr>
      <w:r>
        <w:t>«Время формирования, мс» — отобразится время формирования получения из УС архива с файлами отчета;</w:t>
      </w:r>
    </w:p>
    <w:p w14:paraId="23AA174E">
      <w:pPr>
        <w:pStyle w:val="76"/>
      </w:pPr>
      <w:r>
        <w:t>«Наименование» — отобразится активная ссылка для скачивания отчета.</w:t>
      </w:r>
    </w:p>
    <w:p w14:paraId="602A05DF">
      <w:pPr>
        <w:pStyle w:val="69"/>
      </w:pPr>
      <w:r>
        <w:t xml:space="preserve">Чтобы удалить отчет, выбрать строку записи и нажать в столбце </w:t>
      </w:r>
      <w:r>
        <w:drawing>
          <wp:inline distT="0" distB="0" distL="0" distR="0">
            <wp:extent cx="215900" cy="199390"/>
            <wp:effectExtent l="19050" t="19050" r="12700" b="10160"/>
            <wp:docPr id="2395902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90278" name="Рисунок 1"/>
                    <pic:cNvPicPr>
                      <a:picLocks noChangeAspect="1"/>
                    </pic:cNvPicPr>
                  </pic:nvPicPr>
                  <pic:blipFill>
                    <a:blip r:embed="rId244"/>
                    <a:stretch>
                      <a:fillRect/>
                    </a:stretch>
                  </pic:blipFill>
                  <pic:spPr>
                    <a:xfrm>
                      <a:off x="0" y="0"/>
                      <a:ext cx="216000" cy="200000"/>
                    </a:xfrm>
                    <a:prstGeom prst="rect">
                      <a:avLst/>
                    </a:prstGeom>
                    <a:ln w="3175" cmpd="sng">
                      <a:solidFill>
                        <a:srgbClr val="000000"/>
                      </a:solidFill>
                    </a:ln>
                  </pic:spPr>
                </pic:pic>
              </a:graphicData>
            </a:graphic>
          </wp:inline>
        </w:drawing>
      </w:r>
      <w:r>
        <w:t xml:space="preserve"> «Настройка» пиктограмму </w:t>
      </w:r>
      <w:r>
        <w:drawing>
          <wp:inline distT="0" distB="0" distL="0" distR="0">
            <wp:extent cx="215900" cy="225425"/>
            <wp:effectExtent l="19050" t="19050" r="12700" b="22225"/>
            <wp:docPr id="7932697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69788" name="Рисунок 1"/>
                    <pic:cNvPicPr>
                      <a:picLocks noChangeAspect="1"/>
                    </pic:cNvPicPr>
                  </pic:nvPicPr>
                  <pic:blipFill>
                    <a:blip r:embed="rId245"/>
                    <a:stretch>
                      <a:fillRect/>
                    </a:stretch>
                  </pic:blipFill>
                  <pic:spPr>
                    <a:xfrm>
                      <a:off x="0" y="0"/>
                      <a:ext cx="216000" cy="225819"/>
                    </a:xfrm>
                    <a:prstGeom prst="rect">
                      <a:avLst/>
                    </a:prstGeom>
                    <a:ln w="3175" cmpd="sng">
                      <a:solidFill>
                        <a:srgbClr val="000000"/>
                      </a:solidFill>
                    </a:ln>
                  </pic:spPr>
                </pic:pic>
              </a:graphicData>
            </a:graphic>
          </wp:inline>
        </w:drawing>
      </w:r>
      <w:r>
        <w:t xml:space="preserve"> «Удалить». Важно: при удалении отчет не удаляется фактически, а скрывается из списка, но его все еще можно скачать, если до удаления он был в статусе «Сформирован».</w:t>
      </w:r>
    </w:p>
    <w:p w14:paraId="4F4CC867">
      <w:pPr>
        <w:pStyle w:val="69"/>
      </w:pPr>
      <w:r>
        <w:t>Полученный из УС архив с отчетом по Приказу ФОМС доступен для скачивания и просмотра Плательщиком ТФОМС.</w:t>
      </w:r>
    </w:p>
    <w:bookmarkEnd w:id="2835"/>
    <w:p w14:paraId="101D8CCA">
      <w:pPr>
        <w:pStyle w:val="57"/>
      </w:pPr>
      <w:bookmarkStart w:id="2861" w:name="_Toc225866383"/>
      <w:r>
        <w:t>Аварийные ситуации</w:t>
      </w:r>
      <w:bookmarkEnd w:id="2427"/>
      <w:bookmarkEnd w:id="2428"/>
      <w:bookmarkEnd w:id="2429"/>
      <w:bookmarkEnd w:id="2430"/>
      <w:bookmarkEnd w:id="2861"/>
    </w:p>
    <w:p w14:paraId="20C75B2C">
      <w:pPr>
        <w:pStyle w:val="58"/>
      </w:pPr>
      <w:bookmarkStart w:id="2862" w:name="_Toc150261779"/>
      <w:bookmarkStart w:id="2863" w:name="_Toc149209682"/>
      <w:bookmarkStart w:id="2864" w:name="_Toc225866384"/>
      <w:r>
        <w:t>Сообщения, выдаваемые подсистемой</w:t>
      </w:r>
      <w:bookmarkEnd w:id="2862"/>
      <w:bookmarkEnd w:id="2863"/>
      <w:bookmarkEnd w:id="2864"/>
    </w:p>
    <w:p w14:paraId="1B017224">
      <w:pPr>
        <w:pStyle w:val="69"/>
      </w:pPr>
      <w:r>
        <w:t>Программное обеспечение ФПУМП обеспечивает корректную обработку аварийных ситуаций, вызванных неверными действиями пользователя, неверным форматом или недопустимыми значениями входных данных. В указанных случаях ФПУМП выдает пользователю соответствующие сообщения. После устранения ошибки ФПУМП возвращается в состояние, предшествовавшее неверной (недопустимой) команде или некорректному вводу данных.</w:t>
      </w:r>
    </w:p>
    <w:p w14:paraId="218489AD">
      <w:pPr>
        <w:pStyle w:val="69"/>
      </w:pPr>
      <w:r>
        <w:t>При отображении на экране сообщения об ошибке необходимо действовать в соответствии с рекомендациями, приведенными в тексте сообщения.</w:t>
      </w:r>
    </w:p>
    <w:p w14:paraId="74A266F8">
      <w:pPr>
        <w:pStyle w:val="58"/>
      </w:pPr>
      <w:bookmarkStart w:id="2865" w:name="_Toc149209683"/>
      <w:bookmarkStart w:id="2866" w:name="_Toc150261780"/>
      <w:bookmarkStart w:id="2867" w:name="_Toc225866385"/>
      <w:r>
        <w:t>Отсутствие соединения с ЗСПД</w:t>
      </w:r>
      <w:bookmarkEnd w:id="2865"/>
      <w:bookmarkEnd w:id="2866"/>
      <w:bookmarkEnd w:id="2867"/>
    </w:p>
    <w:p w14:paraId="15552FFB">
      <w:pPr>
        <w:pStyle w:val="69"/>
      </w:pPr>
      <w:r>
        <w:t xml:space="preserve">АРМ пользователей должны быть подключены к защищенной сети передачи данных ФОМС. При отсутствии соединения с ЗСПД на этапе входа в Подсистему или в процессе работы с Подсистемой выводится сообщение веб-браузера об отсутствии соединения с сетью передачи данных. Пример сообщения представлен на рисунке </w:t>
      </w:r>
      <w:r>
        <w:fldChar w:fldCharType="begin"/>
      </w:r>
      <w:r>
        <w:instrText xml:space="preserve"> REF  _Ref133515358 \h\#0   \* MERGEFORMAT </w:instrText>
      </w:r>
      <w:r>
        <w:fldChar w:fldCharType="separate"/>
      </w:r>
      <w:r>
        <w:t>218</w:t>
      </w:r>
      <w:r>
        <w:fldChar w:fldCharType="end"/>
      </w:r>
      <w:r>
        <w:t>.</w:t>
      </w:r>
    </w:p>
    <w:p w14:paraId="001E7BA4">
      <w:pPr>
        <w:pStyle w:val="73"/>
      </w:pPr>
      <w:r>
        <w:drawing>
          <wp:inline distT="0" distB="0" distL="0" distR="0">
            <wp:extent cx="3698240" cy="2247900"/>
            <wp:effectExtent l="19050" t="19050" r="16510" b="19050"/>
            <wp:docPr id="6064022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402201" name="Рисунок 1"/>
                    <pic:cNvPicPr>
                      <a:picLocks noChangeAspect="1"/>
                    </pic:cNvPicPr>
                  </pic:nvPicPr>
                  <pic:blipFill>
                    <a:blip r:embed="rId252"/>
                    <a:stretch>
                      <a:fillRect/>
                    </a:stretch>
                  </pic:blipFill>
                  <pic:spPr>
                    <a:xfrm>
                      <a:off x="0" y="0"/>
                      <a:ext cx="3716014" cy="2258837"/>
                    </a:xfrm>
                    <a:prstGeom prst="rect">
                      <a:avLst/>
                    </a:prstGeom>
                    <a:ln w="3175" cmpd="sng">
                      <a:solidFill>
                        <a:srgbClr val="000000"/>
                      </a:solidFill>
                    </a:ln>
                  </pic:spPr>
                </pic:pic>
              </a:graphicData>
            </a:graphic>
          </wp:inline>
        </w:drawing>
      </w:r>
    </w:p>
    <w:p w14:paraId="2C79F2AF">
      <w:pPr>
        <w:pStyle w:val="74"/>
      </w:pPr>
      <w:bookmarkStart w:id="2868" w:name="_Ref133515358"/>
      <w:r>
        <w:t xml:space="preserve">Рисунок </w:t>
      </w:r>
      <w:r>
        <w:fldChar w:fldCharType="begin"/>
      </w:r>
      <w:r>
        <w:instrText xml:space="preserve"> SEQ Рисунок \* ARABIC </w:instrText>
      </w:r>
      <w:r>
        <w:fldChar w:fldCharType="separate"/>
      </w:r>
      <w:r>
        <w:t>218</w:t>
      </w:r>
      <w:r>
        <w:fldChar w:fldCharType="end"/>
      </w:r>
      <w:bookmarkEnd w:id="2868"/>
      <w:r>
        <w:t xml:space="preserve"> — Пример сообщения с ошибкой</w:t>
      </w:r>
    </w:p>
    <w:p w14:paraId="5D5FEE94">
      <w:pPr>
        <w:pStyle w:val="69"/>
      </w:pPr>
      <w:r>
        <w:t>Данная ошибка не свидетельствует о нарушении работоспособности Подсистемы, но информирует о том, что пользователь не может получить доступ к Подсистеме из-за проблем с сетью передачи данных.</w:t>
      </w:r>
    </w:p>
    <w:p w14:paraId="4450852C">
      <w:pPr>
        <w:pStyle w:val="69"/>
      </w:pPr>
      <w:r>
        <w:t>В этом случае необходимо связаться с администратором Подсистемы по телефону и сообщить о потере соединения с сетью передачи данных.</w:t>
      </w:r>
    </w:p>
    <w:p w14:paraId="6011C7EB">
      <w:pPr>
        <w:pStyle w:val="58"/>
      </w:pPr>
      <w:bookmarkStart w:id="2869" w:name="_Toc149209684"/>
      <w:bookmarkStart w:id="2870" w:name="_Toc150261781"/>
      <w:bookmarkStart w:id="2871" w:name="_Toc225866386"/>
      <w:r>
        <w:t xml:space="preserve">Отказ </w:t>
      </w:r>
      <w:bookmarkEnd w:id="2869"/>
      <w:r>
        <w:t xml:space="preserve">при входе в </w:t>
      </w:r>
      <w:r>
        <w:rPr>
          <w:rFonts w:hint="eastAsia"/>
        </w:rPr>
        <w:t>подсистему</w:t>
      </w:r>
      <w:bookmarkEnd w:id="2870"/>
      <w:bookmarkEnd w:id="2871"/>
    </w:p>
    <w:p w14:paraId="25BD6C1C">
      <w:pPr>
        <w:pStyle w:val="69"/>
      </w:pPr>
      <w:r>
        <w:t xml:space="preserve">При получении сообщения об ошибке при входе в Подсистему (см. п. </w:t>
      </w:r>
      <w:r>
        <w:fldChar w:fldCharType="begin"/>
      </w:r>
      <w:r>
        <w:instrText xml:space="preserve"> REF _Ref133516119 \n \h  \* MERGEFORMAT </w:instrText>
      </w:r>
      <w:r>
        <w:fldChar w:fldCharType="separate"/>
      </w:r>
      <w:r>
        <w:t>3.3</w:t>
      </w:r>
      <w:r>
        <w:fldChar w:fldCharType="end"/>
      </w:r>
      <w:r>
        <w:t>) необходимо убедиться, что раскладка клавиатуры переключена на ввод символов латинского алфавита (обозначение «</w:t>
      </w:r>
      <w:r>
        <w:rPr>
          <w:lang w:val="en-US"/>
        </w:rPr>
        <w:t>Eng</w:t>
      </w:r>
      <w:r>
        <w:t xml:space="preserve">» в операционной системе), отключен режим </w:t>
      </w:r>
      <w:r>
        <w:rPr>
          <w:lang w:val="en-US"/>
        </w:rPr>
        <w:t>CapsLock</w:t>
      </w:r>
      <w:r>
        <w:t xml:space="preserve"> клавиатуры и символы логина и пароля вводятся верно.</w:t>
      </w:r>
    </w:p>
    <w:p w14:paraId="6EE92F82">
      <w:pPr>
        <w:pStyle w:val="69"/>
      </w:pPr>
      <w:r>
        <w:t>Если сообщение об ошибке повторяется следует обратиться в службу технической поддержки и создать заявку в СУЗ.</w:t>
      </w:r>
    </w:p>
    <w:p w14:paraId="02D0770E">
      <w:pPr>
        <w:pStyle w:val="58"/>
      </w:pPr>
      <w:bookmarkStart w:id="2872" w:name="_Toc149209685"/>
      <w:bookmarkStart w:id="2873" w:name="_Toc131174743"/>
      <w:bookmarkStart w:id="2874" w:name="_Toc150261782"/>
      <w:bookmarkStart w:id="2875" w:name="_Toc225866387"/>
      <w:r>
        <w:t>Прерывание сессии связи</w:t>
      </w:r>
      <w:bookmarkEnd w:id="2872"/>
      <w:bookmarkEnd w:id="2873"/>
      <w:bookmarkEnd w:id="2874"/>
      <w:bookmarkEnd w:id="2875"/>
    </w:p>
    <w:p w14:paraId="08FF693B">
      <w:pPr>
        <w:pStyle w:val="69"/>
      </w:pPr>
      <w:r>
        <w:t>В случае прерывания сессии связи при работе с подсистемой произойдет переход на страницу входа в подсистему. Необходимо ввести данные учетной записи (логин и пароль) и продолжить работу.</w:t>
      </w:r>
    </w:p>
    <w:p w14:paraId="2F216BBF">
      <w:pPr>
        <w:pStyle w:val="58"/>
      </w:pPr>
      <w:bookmarkStart w:id="2876" w:name="_Toc150243703"/>
      <w:bookmarkEnd w:id="2876"/>
      <w:bookmarkStart w:id="2877" w:name="_Toc150247532"/>
      <w:bookmarkEnd w:id="2877"/>
      <w:bookmarkStart w:id="2878" w:name="_Toc150243704"/>
      <w:bookmarkEnd w:id="2878"/>
      <w:bookmarkStart w:id="2879" w:name="_Toc150247533"/>
      <w:bookmarkEnd w:id="2879"/>
      <w:bookmarkStart w:id="2880" w:name="_Toc148701993"/>
      <w:bookmarkEnd w:id="2880"/>
      <w:bookmarkStart w:id="2881" w:name="_Toc148709943"/>
      <w:bookmarkEnd w:id="2881"/>
      <w:bookmarkStart w:id="2882" w:name="_Toc148717949"/>
      <w:bookmarkEnd w:id="2882"/>
      <w:bookmarkStart w:id="2883" w:name="_Toc148717952"/>
      <w:bookmarkEnd w:id="2883"/>
      <w:bookmarkStart w:id="2884" w:name="_Toc149054280"/>
      <w:bookmarkEnd w:id="2884"/>
      <w:bookmarkStart w:id="2885" w:name="_Toc149209182"/>
      <w:bookmarkEnd w:id="2885"/>
      <w:bookmarkStart w:id="2886" w:name="_Toc149209690"/>
      <w:bookmarkEnd w:id="2886"/>
      <w:bookmarkStart w:id="2887" w:name="_Toc149209183"/>
      <w:bookmarkEnd w:id="2887"/>
      <w:bookmarkStart w:id="2888" w:name="_Toc148717954"/>
      <w:bookmarkEnd w:id="2888"/>
      <w:bookmarkStart w:id="2889" w:name="_Toc148717951"/>
      <w:bookmarkEnd w:id="2889"/>
      <w:bookmarkStart w:id="2890" w:name="_Toc148958320"/>
      <w:bookmarkEnd w:id="2890"/>
      <w:bookmarkStart w:id="2891" w:name="_Toc148717950"/>
      <w:bookmarkEnd w:id="2891"/>
      <w:bookmarkStart w:id="2892" w:name="_Toc149209184"/>
      <w:bookmarkEnd w:id="2892"/>
      <w:bookmarkStart w:id="2893" w:name="_Toc149209688"/>
      <w:bookmarkEnd w:id="2893"/>
      <w:bookmarkStart w:id="2894" w:name="_Toc148709949"/>
      <w:bookmarkEnd w:id="2894"/>
      <w:bookmarkStart w:id="2895" w:name="_Toc149209693"/>
      <w:bookmarkEnd w:id="2895"/>
      <w:bookmarkStart w:id="2896" w:name="_Toc148958322"/>
      <w:bookmarkEnd w:id="2896"/>
      <w:bookmarkStart w:id="2897" w:name="_Toc148958317"/>
      <w:bookmarkEnd w:id="2897"/>
      <w:bookmarkStart w:id="2898" w:name="_Toc148717956"/>
      <w:bookmarkEnd w:id="2898"/>
      <w:bookmarkStart w:id="2899" w:name="_Toc149035412"/>
      <w:bookmarkEnd w:id="2899"/>
      <w:bookmarkStart w:id="2900" w:name="_Toc149209180"/>
      <w:bookmarkEnd w:id="2900"/>
      <w:bookmarkStart w:id="2901" w:name="_Toc149209694"/>
      <w:bookmarkEnd w:id="2901"/>
      <w:bookmarkStart w:id="2902" w:name="_Toc148702001"/>
      <w:bookmarkEnd w:id="2902"/>
      <w:bookmarkStart w:id="2903" w:name="_Toc148701999"/>
      <w:bookmarkEnd w:id="2903"/>
      <w:bookmarkStart w:id="2904" w:name="_Toc149035411"/>
      <w:bookmarkEnd w:id="2904"/>
      <w:bookmarkStart w:id="2905" w:name="_Toc148709951"/>
      <w:bookmarkEnd w:id="2905"/>
      <w:bookmarkStart w:id="2906" w:name="_Toc149035406"/>
      <w:bookmarkEnd w:id="2906"/>
      <w:bookmarkStart w:id="2907" w:name="_Toc149209691"/>
      <w:bookmarkEnd w:id="2907"/>
      <w:bookmarkStart w:id="2908" w:name="_Toc149209687"/>
      <w:bookmarkEnd w:id="2908"/>
      <w:bookmarkStart w:id="2909" w:name="_Toc149209186"/>
      <w:bookmarkEnd w:id="2909"/>
      <w:bookmarkStart w:id="2910" w:name="_Toc148958319"/>
      <w:bookmarkEnd w:id="2910"/>
      <w:bookmarkStart w:id="2911" w:name="_Toc148701996"/>
      <w:bookmarkEnd w:id="2911"/>
      <w:bookmarkStart w:id="2912" w:name="_Toc149054284"/>
      <w:bookmarkEnd w:id="2912"/>
      <w:bookmarkStart w:id="2913" w:name="_Toc149054282"/>
      <w:bookmarkEnd w:id="2913"/>
      <w:bookmarkStart w:id="2914" w:name="_Toc148717957"/>
      <w:bookmarkEnd w:id="2914"/>
      <w:bookmarkStart w:id="2915" w:name="_Toc149054277"/>
      <w:bookmarkEnd w:id="2915"/>
      <w:bookmarkStart w:id="2916" w:name="_Toc149035408"/>
      <w:bookmarkEnd w:id="2916"/>
      <w:bookmarkStart w:id="2917" w:name="_Toc148701997"/>
      <w:bookmarkEnd w:id="2917"/>
      <w:bookmarkStart w:id="2918" w:name="_Toc148709950"/>
      <w:bookmarkEnd w:id="2918"/>
      <w:bookmarkStart w:id="2919" w:name="_Toc149209179"/>
      <w:bookmarkEnd w:id="2919"/>
      <w:bookmarkStart w:id="2920" w:name="_Toc148701995"/>
      <w:bookmarkEnd w:id="2920"/>
      <w:bookmarkStart w:id="2921" w:name="_Toc148709947"/>
      <w:bookmarkEnd w:id="2921"/>
      <w:bookmarkStart w:id="2922" w:name="_Toc148717953"/>
      <w:bookmarkEnd w:id="2922"/>
      <w:bookmarkStart w:id="2923" w:name="_Toc149035409"/>
      <w:bookmarkEnd w:id="2923"/>
      <w:bookmarkStart w:id="2924" w:name="_Toc149054281"/>
      <w:bookmarkEnd w:id="2924"/>
      <w:bookmarkStart w:id="2925" w:name="_Toc148701998"/>
      <w:bookmarkEnd w:id="2925"/>
      <w:bookmarkStart w:id="2926" w:name="_Toc149209181"/>
      <w:bookmarkEnd w:id="2926"/>
      <w:bookmarkStart w:id="2927" w:name="_Toc148709948"/>
      <w:bookmarkEnd w:id="2927"/>
      <w:bookmarkStart w:id="2928" w:name="_Toc148958321"/>
      <w:bookmarkEnd w:id="2928"/>
      <w:bookmarkStart w:id="2929" w:name="_Toc148709946"/>
      <w:bookmarkEnd w:id="2929"/>
      <w:bookmarkStart w:id="2930" w:name="_Toc148717955"/>
      <w:bookmarkEnd w:id="2930"/>
      <w:bookmarkStart w:id="2931" w:name="_Toc148958316"/>
      <w:bookmarkEnd w:id="2931"/>
      <w:bookmarkStart w:id="2932" w:name="_Toc149054283"/>
      <w:bookmarkEnd w:id="2932"/>
      <w:bookmarkStart w:id="2933" w:name="_Toc148702000"/>
      <w:bookmarkEnd w:id="2933"/>
      <w:bookmarkStart w:id="2934" w:name="_Toc149035410"/>
      <w:bookmarkEnd w:id="2934"/>
      <w:bookmarkStart w:id="2935" w:name="_Toc149209692"/>
      <w:bookmarkEnd w:id="2935"/>
      <w:bookmarkStart w:id="2936" w:name="_Toc149035405"/>
      <w:bookmarkEnd w:id="2936"/>
      <w:bookmarkStart w:id="2937" w:name="_Toc148958318"/>
      <w:bookmarkEnd w:id="2937"/>
      <w:bookmarkStart w:id="2938" w:name="_Toc149054278"/>
      <w:bookmarkEnd w:id="2938"/>
      <w:bookmarkStart w:id="2939" w:name="_Toc149054279"/>
      <w:bookmarkEnd w:id="2939"/>
      <w:bookmarkStart w:id="2940" w:name="_Toc149209185"/>
      <w:bookmarkEnd w:id="2940"/>
      <w:bookmarkStart w:id="2941" w:name="_Toc148701994"/>
      <w:bookmarkEnd w:id="2941"/>
      <w:bookmarkStart w:id="2942" w:name="_Toc148709945"/>
      <w:bookmarkEnd w:id="2942"/>
      <w:bookmarkStart w:id="2943" w:name="_Toc149035407"/>
      <w:bookmarkEnd w:id="2943"/>
      <w:bookmarkStart w:id="2944" w:name="_Toc148958315"/>
      <w:bookmarkEnd w:id="2944"/>
      <w:bookmarkStart w:id="2945" w:name="_Toc148709944"/>
      <w:bookmarkEnd w:id="2945"/>
      <w:bookmarkStart w:id="2946" w:name="_Toc149209689"/>
      <w:bookmarkEnd w:id="2946"/>
      <w:bookmarkStart w:id="2947" w:name="_Toc149054286"/>
      <w:bookmarkEnd w:id="2947"/>
      <w:bookmarkStart w:id="2948" w:name="_Toc149209696"/>
      <w:bookmarkEnd w:id="2948"/>
      <w:bookmarkStart w:id="2949" w:name="_Toc149035413"/>
      <w:bookmarkEnd w:id="2949"/>
      <w:bookmarkStart w:id="2950" w:name="_Toc149209187"/>
      <w:bookmarkEnd w:id="2950"/>
      <w:bookmarkStart w:id="2951" w:name="_Toc148709952"/>
      <w:bookmarkEnd w:id="2951"/>
      <w:bookmarkStart w:id="2952" w:name="_Toc149054285"/>
      <w:bookmarkEnd w:id="2952"/>
      <w:bookmarkStart w:id="2953" w:name="_Toc149209695"/>
      <w:bookmarkEnd w:id="2953"/>
      <w:bookmarkStart w:id="2954" w:name="_Toc149209188"/>
      <w:bookmarkEnd w:id="2954"/>
      <w:bookmarkStart w:id="2955" w:name="_Toc148717958"/>
      <w:bookmarkEnd w:id="2955"/>
      <w:bookmarkStart w:id="2956" w:name="_Toc148958324"/>
      <w:bookmarkEnd w:id="2956"/>
      <w:bookmarkStart w:id="2957" w:name="_Toc149035414"/>
      <w:bookmarkEnd w:id="2957"/>
      <w:bookmarkStart w:id="2958" w:name="_Toc148958323"/>
      <w:bookmarkEnd w:id="2958"/>
      <w:bookmarkStart w:id="2959" w:name="_Toc148702002"/>
      <w:bookmarkEnd w:id="2959"/>
      <w:bookmarkStart w:id="2960" w:name="_Toc150261783"/>
      <w:bookmarkStart w:id="2961" w:name="_Toc149209697"/>
      <w:bookmarkStart w:id="2962" w:name="_Toc225866388"/>
      <w:r>
        <w:t xml:space="preserve">Отказ АРМ </w:t>
      </w:r>
      <w:r>
        <w:rPr>
          <w:rFonts w:hint="eastAsia"/>
        </w:rPr>
        <w:t>пользователя</w:t>
      </w:r>
      <w:bookmarkEnd w:id="2960"/>
      <w:bookmarkEnd w:id="2961"/>
      <w:bookmarkEnd w:id="2962"/>
    </w:p>
    <w:p w14:paraId="302F3F47">
      <w:pPr>
        <w:pStyle w:val="69"/>
      </w:pPr>
      <w:r>
        <w:t>Об отказе АРМ пользователя свидетельствуют следующие события:</w:t>
      </w:r>
    </w:p>
    <w:p w14:paraId="1F9B45CF">
      <w:pPr>
        <w:pStyle w:val="76"/>
      </w:pPr>
      <w:r>
        <w:t>изображение на мониторе не изменяется и не реагирует на команды клавиатуры и мыши;</w:t>
      </w:r>
    </w:p>
    <w:p w14:paraId="22D1E6D3">
      <w:pPr>
        <w:pStyle w:val="76"/>
      </w:pPr>
      <w:r>
        <w:t>изображение не выводится на экран монитора (черный экран);</w:t>
      </w:r>
    </w:p>
    <w:p w14:paraId="6990F136">
      <w:pPr>
        <w:pStyle w:val="76"/>
      </w:pPr>
      <w:r>
        <w:t xml:space="preserve">на монитор выводится сообщение об ошибке белыми символами на синем фоне или белыми символами на черном фоне (рис. </w:t>
      </w:r>
      <w:r>
        <w:fldChar w:fldCharType="begin"/>
      </w:r>
      <w:r>
        <w:instrText xml:space="preserve"> REF  _Ref133516814 \h\#\0   \* MERGEFORMAT </w:instrText>
      </w:r>
      <w:r>
        <w:fldChar w:fldCharType="separate"/>
      </w:r>
      <w:r>
        <w:t>219</w:t>
      </w:r>
      <w:r>
        <w:fldChar w:fldCharType="end"/>
      </w:r>
      <w:r>
        <w:t>).</w:t>
      </w:r>
    </w:p>
    <w:p w14:paraId="426232DB">
      <w:pPr>
        <w:pStyle w:val="73"/>
      </w:pPr>
      <w:r>
        <w:drawing>
          <wp:inline distT="0" distB="0" distL="0" distR="0">
            <wp:extent cx="3599815" cy="2024380"/>
            <wp:effectExtent l="19050" t="19050" r="19685" b="139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a:xfrm>
                      <a:off x="0" y="0"/>
                      <a:ext cx="3600000" cy="2024858"/>
                    </a:xfrm>
                    <a:prstGeom prst="rect">
                      <a:avLst/>
                    </a:prstGeom>
                    <a:noFill/>
                    <a:ln w="3175" cmpd="sng">
                      <a:solidFill>
                        <a:srgbClr val="000000"/>
                      </a:solidFill>
                    </a:ln>
                  </pic:spPr>
                </pic:pic>
              </a:graphicData>
            </a:graphic>
          </wp:inline>
        </w:drawing>
      </w:r>
    </w:p>
    <w:p w14:paraId="4C45D28D">
      <w:pPr>
        <w:pStyle w:val="73"/>
      </w:pPr>
      <w:r>
        <w:drawing>
          <wp:inline distT="0" distB="0" distL="0" distR="0">
            <wp:extent cx="3599815" cy="1473835"/>
            <wp:effectExtent l="19050" t="19050" r="19685" b="1206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noChangeArrowheads="1"/>
                    </pic:cNvPicPr>
                  </pic:nvPicPr>
                  <pic:blipFill>
                    <a:blip r:embed="rId254" cstate="print">
                      <a:extLst>
                        <a:ext uri="{28A0092B-C50C-407E-A947-70E740481C1C}">
                          <a14:useLocalDpi xmlns:a14="http://schemas.microsoft.com/office/drawing/2010/main" val="0"/>
                        </a:ext>
                      </a:extLst>
                    </a:blip>
                    <a:srcRect r="4858" b="30590"/>
                    <a:stretch>
                      <a:fillRect/>
                    </a:stretch>
                  </pic:blipFill>
                  <pic:spPr>
                    <a:xfrm>
                      <a:off x="0" y="0"/>
                      <a:ext cx="3600000" cy="1473913"/>
                    </a:xfrm>
                    <a:prstGeom prst="rect">
                      <a:avLst/>
                    </a:prstGeom>
                    <a:noFill/>
                    <a:ln w="3175" cmpd="sng">
                      <a:solidFill>
                        <a:srgbClr val="000000"/>
                      </a:solidFill>
                    </a:ln>
                  </pic:spPr>
                </pic:pic>
              </a:graphicData>
            </a:graphic>
          </wp:inline>
        </w:drawing>
      </w:r>
    </w:p>
    <w:p w14:paraId="2DAB40A4">
      <w:pPr>
        <w:pStyle w:val="74"/>
      </w:pPr>
      <w:bookmarkStart w:id="2963" w:name="_Ref133516814"/>
      <w:r>
        <w:t xml:space="preserve">Рисунок </w:t>
      </w:r>
      <w:r>
        <w:fldChar w:fldCharType="begin"/>
      </w:r>
      <w:r>
        <w:instrText xml:space="preserve"> SEQ Рисунок \* ARABIC </w:instrText>
      </w:r>
      <w:r>
        <w:fldChar w:fldCharType="separate"/>
      </w:r>
      <w:r>
        <w:t>219</w:t>
      </w:r>
      <w:r>
        <w:fldChar w:fldCharType="end"/>
      </w:r>
      <w:bookmarkEnd w:id="2963"/>
      <w:r>
        <w:t xml:space="preserve"> — Примеры сообщений с ошибкой</w:t>
      </w:r>
    </w:p>
    <w:p w14:paraId="10002EE4">
      <w:pPr>
        <w:pStyle w:val="69"/>
      </w:pPr>
      <w:r>
        <w:t>При обнаружении указанных событий необходимо проинформировать администратора, ответственного за функционирование АРМ пользователя.</w:t>
      </w:r>
    </w:p>
    <w:p w14:paraId="721398F2">
      <w:pPr>
        <w:pStyle w:val="58"/>
      </w:pPr>
      <w:bookmarkStart w:id="2964" w:name="_Toc150261784"/>
      <w:bookmarkStart w:id="2965" w:name="_Toc225866389"/>
      <w:bookmarkStart w:id="2966" w:name="_Toc149209698"/>
      <w:r>
        <w:t>Сбой функционирования веб-браузера</w:t>
      </w:r>
      <w:bookmarkEnd w:id="2964"/>
      <w:bookmarkEnd w:id="2965"/>
      <w:bookmarkEnd w:id="2966"/>
    </w:p>
    <w:p w14:paraId="74DF7DFD">
      <w:pPr>
        <w:pStyle w:val="69"/>
      </w:pPr>
      <w:r>
        <w:t>В случае, если у пользователя есть ожидание, что данные, отображаемые на страницах Подсистемы должны измениться в следствие действий пользователя, но такие изменения не происходят это может свидетельствовать, о том, что веб-браузер сохранил (кэшировал) данные страницы и не обновляет их на странице веб-браузера.</w:t>
      </w:r>
    </w:p>
    <w:p w14:paraId="3CF13956">
      <w:pPr>
        <w:pStyle w:val="69"/>
      </w:pPr>
      <w:r>
        <w:t>В этом случае пользователю необходимо очистить кэш браузера в соответствии с инструкцией пользователя для используемого веб-браузера.</w:t>
      </w:r>
    </w:p>
    <w:p w14:paraId="0D317DC6">
      <w:pPr>
        <w:pStyle w:val="58"/>
      </w:pPr>
      <w:bookmarkStart w:id="2967" w:name="_Toc150261785"/>
      <w:bookmarkStart w:id="2968" w:name="_Toc225866390"/>
      <w:bookmarkStart w:id="2969" w:name="_Toc149209699"/>
      <w:r>
        <w:t>Потеря данных подсистемы</w:t>
      </w:r>
      <w:bookmarkEnd w:id="2967"/>
      <w:bookmarkEnd w:id="2968"/>
      <w:bookmarkEnd w:id="2969"/>
    </w:p>
    <w:p w14:paraId="6C74274E">
      <w:pPr>
        <w:pStyle w:val="69"/>
      </w:pPr>
      <w:r>
        <w:t>В случае обнаружения потери данных необходимо незамедлительно проинформировать администратора Подсистемы с указанием детальной информации о ситуации.</w:t>
      </w:r>
    </w:p>
    <w:p w14:paraId="3F14BDA4">
      <w:pPr>
        <w:pStyle w:val="69"/>
      </w:pPr>
      <w:r>
        <w:t>При подтверждении потери данных в Подсистеме со стороны администратора подсистемы или СТП, возможно восстановление данных из резервной копии. В этом случае необходимо создать заявку в СУЗ и предоставить информацию, содержащуюся в сообщении об ошибке.</w:t>
      </w:r>
    </w:p>
    <w:p w14:paraId="3FCD979A">
      <w:pPr>
        <w:pStyle w:val="58"/>
      </w:pPr>
      <w:bookmarkStart w:id="2970" w:name="_Toc150243711"/>
      <w:bookmarkEnd w:id="2970"/>
      <w:bookmarkStart w:id="2971" w:name="_Toc150243712"/>
      <w:bookmarkEnd w:id="2971"/>
      <w:bookmarkStart w:id="2972" w:name="_Toc150247541"/>
      <w:bookmarkEnd w:id="2972"/>
      <w:bookmarkStart w:id="2973" w:name="_Toc150243713"/>
      <w:bookmarkEnd w:id="2973"/>
      <w:bookmarkStart w:id="2974" w:name="_Toc149054291"/>
      <w:bookmarkEnd w:id="2974"/>
      <w:bookmarkStart w:id="2975" w:name="_Toc149209193"/>
      <w:bookmarkEnd w:id="2975"/>
      <w:bookmarkStart w:id="2976" w:name="_Toc149209701"/>
      <w:bookmarkEnd w:id="2976"/>
      <w:bookmarkStart w:id="2977" w:name="_Toc148702007"/>
      <w:bookmarkEnd w:id="2977"/>
      <w:bookmarkStart w:id="2978" w:name="_Toc148709957"/>
      <w:bookmarkEnd w:id="2978"/>
      <w:bookmarkStart w:id="2979" w:name="_Toc148717963"/>
      <w:bookmarkEnd w:id="2979"/>
      <w:bookmarkStart w:id="2980" w:name="_Toc148958329"/>
      <w:bookmarkEnd w:id="2980"/>
      <w:bookmarkStart w:id="2981" w:name="_Toc149035420"/>
      <w:bookmarkEnd w:id="2981"/>
      <w:bookmarkStart w:id="2982" w:name="_Toc149054292"/>
      <w:bookmarkEnd w:id="2982"/>
      <w:bookmarkStart w:id="2983" w:name="_Toc149209194"/>
      <w:bookmarkEnd w:id="2983"/>
      <w:bookmarkStart w:id="2984" w:name="_Toc149209702"/>
      <w:bookmarkEnd w:id="2984"/>
      <w:bookmarkStart w:id="2985" w:name="_Toc148702008"/>
      <w:bookmarkEnd w:id="2985"/>
      <w:bookmarkStart w:id="2986" w:name="_Toc150247538"/>
      <w:bookmarkEnd w:id="2986"/>
      <w:bookmarkStart w:id="2987" w:name="_Toc150247540"/>
      <w:bookmarkEnd w:id="2987"/>
      <w:bookmarkStart w:id="2988" w:name="_Toc150247542"/>
      <w:bookmarkEnd w:id="2988"/>
      <w:bookmarkStart w:id="2989" w:name="_Toc148702006"/>
      <w:bookmarkEnd w:id="2989"/>
      <w:bookmarkStart w:id="2990" w:name="_Toc148958328"/>
      <w:bookmarkEnd w:id="2990"/>
      <w:bookmarkStart w:id="2991" w:name="_Toc150247543"/>
      <w:bookmarkEnd w:id="2991"/>
      <w:bookmarkStart w:id="2992" w:name="_Toc149035419"/>
      <w:bookmarkEnd w:id="2992"/>
      <w:bookmarkStart w:id="2993" w:name="_Toc150243714"/>
      <w:bookmarkEnd w:id="2993"/>
      <w:bookmarkStart w:id="2994" w:name="_Toc148709956"/>
      <w:bookmarkEnd w:id="2994"/>
      <w:bookmarkStart w:id="2995" w:name="_Toc150247537"/>
      <w:bookmarkEnd w:id="2995"/>
      <w:bookmarkStart w:id="2996" w:name="_Toc150243710"/>
      <w:bookmarkEnd w:id="2996"/>
      <w:bookmarkStart w:id="2997" w:name="_Toc148717962"/>
      <w:bookmarkEnd w:id="2997"/>
      <w:bookmarkStart w:id="2998" w:name="_Toc150243708"/>
      <w:bookmarkEnd w:id="2998"/>
      <w:bookmarkStart w:id="2999" w:name="_Toc150243709"/>
      <w:bookmarkEnd w:id="2999"/>
      <w:bookmarkStart w:id="3000" w:name="_Toc150247539"/>
      <w:bookmarkEnd w:id="3000"/>
      <w:bookmarkStart w:id="3001" w:name="_Toc148717969"/>
      <w:bookmarkEnd w:id="3001"/>
      <w:bookmarkStart w:id="3002" w:name="_Toc149209708"/>
      <w:bookmarkEnd w:id="3002"/>
      <w:bookmarkStart w:id="3003" w:name="_Toc148702014"/>
      <w:bookmarkEnd w:id="3003"/>
      <w:bookmarkStart w:id="3004" w:name="_Toc149209707"/>
      <w:bookmarkEnd w:id="3004"/>
      <w:bookmarkStart w:id="3005" w:name="_Toc148709960"/>
      <w:bookmarkEnd w:id="3005"/>
      <w:bookmarkStart w:id="3006" w:name="_Toc149035427"/>
      <w:bookmarkEnd w:id="3006"/>
      <w:bookmarkStart w:id="3007" w:name="_Toc149209201"/>
      <w:bookmarkEnd w:id="3007"/>
      <w:bookmarkStart w:id="3008" w:name="_Toc148702010"/>
      <w:bookmarkEnd w:id="3008"/>
      <w:bookmarkStart w:id="3009" w:name="_Toc149035425"/>
      <w:bookmarkEnd w:id="3009"/>
      <w:bookmarkStart w:id="3010" w:name="_Toc148717965"/>
      <w:bookmarkEnd w:id="3010"/>
      <w:bookmarkStart w:id="3011" w:name="_Toc149054294"/>
      <w:bookmarkEnd w:id="3011"/>
      <w:bookmarkStart w:id="3012" w:name="_Toc148717971"/>
      <w:bookmarkEnd w:id="3012"/>
      <w:bookmarkStart w:id="3013" w:name="_Toc148709964"/>
      <w:bookmarkEnd w:id="3013"/>
      <w:bookmarkStart w:id="3014" w:name="_Toc149035428"/>
      <w:bookmarkEnd w:id="3014"/>
      <w:bookmarkStart w:id="3015" w:name="_Toc149035421"/>
      <w:bookmarkEnd w:id="3015"/>
      <w:bookmarkStart w:id="3016" w:name="_Toc148702011"/>
      <w:bookmarkEnd w:id="3016"/>
      <w:bookmarkStart w:id="3017" w:name="_Toc148717970"/>
      <w:bookmarkEnd w:id="3017"/>
      <w:bookmarkStart w:id="3018" w:name="_Toc148958332"/>
      <w:bookmarkEnd w:id="3018"/>
      <w:bookmarkStart w:id="3019" w:name="_Toc149054297"/>
      <w:bookmarkEnd w:id="3019"/>
      <w:bookmarkStart w:id="3020" w:name="_Toc149054299"/>
      <w:bookmarkEnd w:id="3020"/>
      <w:bookmarkStart w:id="3021" w:name="_Toc148958335"/>
      <w:bookmarkEnd w:id="3021"/>
      <w:bookmarkStart w:id="3022" w:name="_Toc149209202"/>
      <w:bookmarkEnd w:id="3022"/>
      <w:bookmarkStart w:id="3023" w:name="_Toc148717964"/>
      <w:bookmarkEnd w:id="3023"/>
      <w:bookmarkStart w:id="3024" w:name="_Toc149054296"/>
      <w:bookmarkEnd w:id="3024"/>
      <w:bookmarkStart w:id="3025" w:name="_Toc149209198"/>
      <w:bookmarkEnd w:id="3025"/>
      <w:bookmarkStart w:id="3026" w:name="_Toc149054293"/>
      <w:bookmarkEnd w:id="3026"/>
      <w:bookmarkStart w:id="3027" w:name="_Toc149209199"/>
      <w:bookmarkEnd w:id="3027"/>
      <w:bookmarkStart w:id="3028" w:name="_Toc148958337"/>
      <w:bookmarkEnd w:id="3028"/>
      <w:bookmarkStart w:id="3029" w:name="_Toc149035423"/>
      <w:bookmarkEnd w:id="3029"/>
      <w:bookmarkStart w:id="3030" w:name="_Toc149209710"/>
      <w:bookmarkEnd w:id="3030"/>
      <w:bookmarkStart w:id="3031" w:name="_Toc148709958"/>
      <w:bookmarkEnd w:id="3031"/>
      <w:bookmarkStart w:id="3032" w:name="_Toc149054295"/>
      <w:bookmarkEnd w:id="3032"/>
      <w:bookmarkStart w:id="3033" w:name="_Toc149209705"/>
      <w:bookmarkEnd w:id="3033"/>
      <w:bookmarkStart w:id="3034" w:name="_Toc149035426"/>
      <w:bookmarkEnd w:id="3034"/>
      <w:bookmarkStart w:id="3035" w:name="_Toc149209200"/>
      <w:bookmarkEnd w:id="3035"/>
      <w:bookmarkStart w:id="3036" w:name="_Toc148702009"/>
      <w:bookmarkEnd w:id="3036"/>
      <w:bookmarkStart w:id="3037" w:name="_Toc149209703"/>
      <w:bookmarkEnd w:id="3037"/>
      <w:bookmarkStart w:id="3038" w:name="_Toc149209197"/>
      <w:bookmarkEnd w:id="3038"/>
      <w:bookmarkStart w:id="3039" w:name="_Toc149209706"/>
      <w:bookmarkEnd w:id="3039"/>
      <w:bookmarkStart w:id="3040" w:name="_Toc148709962"/>
      <w:bookmarkEnd w:id="3040"/>
      <w:bookmarkStart w:id="3041" w:name="_Toc149209709"/>
      <w:bookmarkEnd w:id="3041"/>
      <w:bookmarkStart w:id="3042" w:name="_Toc148702015"/>
      <w:bookmarkEnd w:id="3042"/>
      <w:bookmarkStart w:id="3043" w:name="_Toc148709965"/>
      <w:bookmarkEnd w:id="3043"/>
      <w:bookmarkStart w:id="3044" w:name="_Toc148717967"/>
      <w:bookmarkEnd w:id="3044"/>
      <w:bookmarkStart w:id="3045" w:name="_Toc148702012"/>
      <w:bookmarkEnd w:id="3045"/>
      <w:bookmarkStart w:id="3046" w:name="_Toc148709963"/>
      <w:bookmarkEnd w:id="3046"/>
      <w:bookmarkStart w:id="3047" w:name="_Toc149054300"/>
      <w:bookmarkEnd w:id="3047"/>
      <w:bookmarkStart w:id="3048" w:name="_Toc149054298"/>
      <w:bookmarkEnd w:id="3048"/>
      <w:bookmarkStart w:id="3049" w:name="_Toc148958336"/>
      <w:bookmarkEnd w:id="3049"/>
      <w:bookmarkStart w:id="3050" w:name="_Toc148958333"/>
      <w:bookmarkEnd w:id="3050"/>
      <w:bookmarkStart w:id="3051" w:name="_Toc149209195"/>
      <w:bookmarkEnd w:id="3051"/>
      <w:bookmarkStart w:id="3052" w:name="_Toc148709959"/>
      <w:bookmarkEnd w:id="3052"/>
      <w:bookmarkStart w:id="3053" w:name="_Toc149209196"/>
      <w:bookmarkEnd w:id="3053"/>
      <w:bookmarkStart w:id="3054" w:name="_Toc149209704"/>
      <w:bookmarkEnd w:id="3054"/>
      <w:bookmarkStart w:id="3055" w:name="_Toc148958330"/>
      <w:bookmarkEnd w:id="3055"/>
      <w:bookmarkStart w:id="3056" w:name="_Toc148958331"/>
      <w:bookmarkEnd w:id="3056"/>
      <w:bookmarkStart w:id="3057" w:name="_Toc148709961"/>
      <w:bookmarkEnd w:id="3057"/>
      <w:bookmarkStart w:id="3058" w:name="_Toc149035422"/>
      <w:bookmarkEnd w:id="3058"/>
      <w:bookmarkStart w:id="3059" w:name="_Toc149035424"/>
      <w:bookmarkEnd w:id="3059"/>
      <w:bookmarkStart w:id="3060" w:name="_Toc148717966"/>
      <w:bookmarkEnd w:id="3060"/>
      <w:bookmarkStart w:id="3061" w:name="_Toc148958334"/>
      <w:bookmarkEnd w:id="3061"/>
      <w:bookmarkStart w:id="3062" w:name="_Toc148717968"/>
      <w:bookmarkEnd w:id="3062"/>
      <w:bookmarkStart w:id="3063" w:name="_Toc148702013"/>
      <w:bookmarkEnd w:id="3063"/>
      <w:bookmarkStart w:id="3064" w:name="_Toc131174745"/>
      <w:bookmarkStart w:id="3065" w:name="_Toc149209711"/>
      <w:bookmarkStart w:id="3066" w:name="_Toc150261786"/>
      <w:bookmarkStart w:id="3067" w:name="_Toc225866391"/>
      <w:r>
        <w:t>Действия в случаях обнаружения несанкционированного доступа к</w:t>
      </w:r>
      <w:r>
        <w:rPr>
          <w:rFonts w:hint="eastAsia"/>
        </w:rPr>
        <w:t> </w:t>
      </w:r>
      <w:r>
        <w:t>данным</w:t>
      </w:r>
      <w:bookmarkEnd w:id="3064"/>
      <w:bookmarkEnd w:id="3065"/>
      <w:bookmarkEnd w:id="3066"/>
      <w:bookmarkEnd w:id="3067"/>
    </w:p>
    <w:p w14:paraId="4D3DC783">
      <w:pPr>
        <w:pStyle w:val="69"/>
      </w:pPr>
      <w:r>
        <w:t>В случае обнаружения несанкционированного доступа к данным, необходимо незамедлительно проинформировать об этом специалистов в области информационной безопасности, сопровождающих работу ГИС ОМС, и действовать согласно внутренним регламентам и инструкциям, принятым в ФОМС в части обеспечения информационной безопасности.</w:t>
      </w:r>
    </w:p>
    <w:p w14:paraId="561BBAE4">
      <w:pPr>
        <w:pStyle w:val="69"/>
      </w:pPr>
      <w:r>
        <w:t>При подозрении в компрометации личного пароля (паролей), некорректном функционировании установленных на сервере или рабочей станции АРМ технических средств защиты, при обнаружении отклонений, затрудняющих работу с ФПУМП, а также о других возможных проблемах безопасности также следует своевременно информировать специалистов в области информационной безопасности, сопровождающих работу ГИС ОМС.</w:t>
      </w:r>
    </w:p>
    <w:p w14:paraId="00DD8F8E">
      <w:pPr>
        <w:pStyle w:val="58"/>
      </w:pPr>
      <w:bookmarkStart w:id="3068" w:name="_Toc150261787"/>
      <w:bookmarkStart w:id="3069" w:name="_Toc225866392"/>
      <w:bookmarkStart w:id="3070" w:name="_Toc149209712"/>
      <w:r>
        <w:t>Другие аварийные ситуации</w:t>
      </w:r>
      <w:bookmarkEnd w:id="3068"/>
      <w:bookmarkEnd w:id="3069"/>
      <w:bookmarkEnd w:id="3070"/>
    </w:p>
    <w:p w14:paraId="7F3102F1">
      <w:pPr>
        <w:pStyle w:val="69"/>
      </w:pPr>
      <w:r>
        <w:t>В случае если поведение подсистемы отличается от описанных в настоящем документе, необходимо обратиться к администратору подсистемы или в службу технической поддержки и создать заявку в СУЗ с подробным описанием возникшей ситуации.</w:t>
      </w:r>
    </w:p>
    <w:p w14:paraId="164AE47E">
      <w:pPr>
        <w:pStyle w:val="57"/>
      </w:pPr>
      <w:bookmarkStart w:id="3071" w:name="_Toc150261788"/>
      <w:bookmarkStart w:id="3072" w:name="_Toc131174747"/>
      <w:bookmarkStart w:id="3073" w:name="_Toc149209713"/>
      <w:bookmarkStart w:id="3074" w:name="_Toc225866393"/>
      <w:r>
        <w:t>Рекомендации по освоению</w:t>
      </w:r>
      <w:bookmarkEnd w:id="3071"/>
      <w:bookmarkEnd w:id="3072"/>
      <w:bookmarkEnd w:id="3073"/>
      <w:bookmarkEnd w:id="3074"/>
    </w:p>
    <w:p w14:paraId="522C82E0">
      <w:pPr>
        <w:pStyle w:val="69"/>
      </w:pPr>
      <w:r>
        <w:t>Для успешного освоения ФПУМП пользователи должны обладать знаниями и навыками работы с персональным компьютером.</w:t>
      </w:r>
    </w:p>
    <w:p w14:paraId="10A5A1B2">
      <w:pPr>
        <w:pStyle w:val="69"/>
      </w:pPr>
      <w:r>
        <w:t>Перед началом работы с подсистемой необходимо изучить настоящее руководство пользователя и пройти инструктаж по работе с ФПУМП.</w:t>
      </w:r>
    </w:p>
    <w:p w14:paraId="3D38E6BB">
      <w:pPr>
        <w:pStyle w:val="58"/>
      </w:pPr>
      <w:bookmarkStart w:id="3075" w:name="_Toc149209714"/>
      <w:bookmarkStart w:id="3076" w:name="_Toc150261789"/>
      <w:bookmarkStart w:id="3077" w:name="_Toc225866394"/>
      <w:r>
        <w:t>Контрольный пример</w:t>
      </w:r>
      <w:bookmarkEnd w:id="3075"/>
      <w:bookmarkEnd w:id="3076"/>
      <w:bookmarkEnd w:id="3077"/>
    </w:p>
    <w:p w14:paraId="4AF86F32">
      <w:pPr>
        <w:pStyle w:val="69"/>
      </w:pPr>
      <w:r>
        <w:t>Для выполнения контрольного примера выполните следующие действия:</w:t>
      </w:r>
    </w:p>
    <w:p w14:paraId="2C481222">
      <w:pPr>
        <w:pStyle w:val="75"/>
        <w:numPr>
          <w:ilvl w:val="0"/>
          <w:numId w:val="21"/>
        </w:numPr>
      </w:pPr>
      <w:r>
        <w:t>запустить веб-браузер,</w:t>
      </w:r>
    </w:p>
    <w:p w14:paraId="7EE45DD2">
      <w:pPr>
        <w:pStyle w:val="75"/>
      </w:pPr>
      <w:r>
        <w:t>ввести в адресной строке адрес ФПУМП;</w:t>
      </w:r>
    </w:p>
    <w:p w14:paraId="19F02E76">
      <w:pPr>
        <w:pStyle w:val="75"/>
      </w:pPr>
      <w:r>
        <w:t xml:space="preserve">в открывшемся окне входа в подсистему ввести данные учетной записи (логин и пароль) и нажать кнопку «Войти» (рис. </w:t>
      </w:r>
      <w:r>
        <w:fldChar w:fldCharType="begin"/>
      </w:r>
      <w:r>
        <w:instrText xml:space="preserve"> REF  _Ref150249195 \h\#\0   \* MERGEFORMAT </w:instrText>
      </w:r>
      <w:r>
        <w:fldChar w:fldCharType="separate"/>
      </w:r>
      <w:r>
        <w:t>220</w:t>
      </w:r>
      <w:r>
        <w:fldChar w:fldCharType="end"/>
      </w:r>
      <w:r>
        <w:t>).</w:t>
      </w:r>
    </w:p>
    <w:p w14:paraId="15777814">
      <w:pPr>
        <w:pStyle w:val="73"/>
      </w:pPr>
      <w:r>
        <w:drawing>
          <wp:inline distT="0" distB="0" distL="0" distR="0">
            <wp:extent cx="2357120" cy="2979420"/>
            <wp:effectExtent l="19050" t="19050" r="24130" b="11430"/>
            <wp:docPr id="16163124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12419" name="Рисунок 1"/>
                    <pic:cNvPicPr>
                      <a:picLocks noChangeAspect="1"/>
                    </pic:cNvPicPr>
                  </pic:nvPicPr>
                  <pic:blipFill>
                    <a:blip r:embed="rId255"/>
                    <a:stretch>
                      <a:fillRect/>
                    </a:stretch>
                  </pic:blipFill>
                  <pic:spPr>
                    <a:xfrm>
                      <a:off x="0" y="0"/>
                      <a:ext cx="2375818" cy="3002277"/>
                    </a:xfrm>
                    <a:prstGeom prst="rect">
                      <a:avLst/>
                    </a:prstGeom>
                    <a:ln w="3175" cmpd="sng">
                      <a:solidFill>
                        <a:srgbClr val="000000"/>
                      </a:solidFill>
                    </a:ln>
                  </pic:spPr>
                </pic:pic>
              </a:graphicData>
            </a:graphic>
          </wp:inline>
        </w:drawing>
      </w:r>
    </w:p>
    <w:p w14:paraId="7CF9CE71">
      <w:pPr>
        <w:pStyle w:val="74"/>
      </w:pPr>
      <w:bookmarkStart w:id="3078" w:name="_Ref150249195"/>
      <w:r>
        <w:t xml:space="preserve">Рисунок </w:t>
      </w:r>
      <w:r>
        <w:fldChar w:fldCharType="begin"/>
      </w:r>
      <w:r>
        <w:instrText xml:space="preserve"> SEQ Рисунок \* ARABIC </w:instrText>
      </w:r>
      <w:r>
        <w:fldChar w:fldCharType="separate"/>
      </w:r>
      <w:r>
        <w:t>220</w:t>
      </w:r>
      <w:r>
        <w:fldChar w:fldCharType="end"/>
      </w:r>
      <w:bookmarkEnd w:id="3078"/>
      <w:r>
        <w:t xml:space="preserve"> — Окно входа в подсистему</w:t>
      </w:r>
    </w:p>
    <w:p w14:paraId="7E26A246">
      <w:pPr>
        <w:pStyle w:val="75"/>
        <w:tabs>
          <w:tab w:val="clear" w:pos="0"/>
        </w:tabs>
      </w:pPr>
      <w:r>
        <w:t xml:space="preserve">В представленном на стартовой странице реестре СЭФД (рис. </w:t>
      </w:r>
      <w:r>
        <w:fldChar w:fldCharType="begin"/>
      </w:r>
      <w:r>
        <w:instrText xml:space="preserve"> REF  _Ref133517106 \h\#\0   \* MERGEFORMAT </w:instrText>
      </w:r>
      <w:r>
        <w:fldChar w:fldCharType="separate"/>
      </w:r>
      <w:r>
        <w:t>221</w:t>
      </w:r>
      <w:r>
        <w:fldChar w:fldCharType="end"/>
      </w:r>
      <w:r>
        <w:t>) необходимо дважды нажать на любую строку с данными СЭФД.</w:t>
      </w:r>
    </w:p>
    <w:p w14:paraId="6961F550">
      <w:pPr>
        <w:pStyle w:val="73"/>
      </w:pPr>
      <w:r>
        <w:drawing>
          <wp:inline distT="0" distB="0" distL="0" distR="0">
            <wp:extent cx="6119495" cy="2821940"/>
            <wp:effectExtent l="19050" t="19050" r="14605" b="16510"/>
            <wp:docPr id="10848474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47461" name="Рисунок 1"/>
                    <pic:cNvPicPr>
                      <a:picLocks noChangeAspect="1"/>
                    </pic:cNvPicPr>
                  </pic:nvPicPr>
                  <pic:blipFill>
                    <a:blip r:embed="rId256"/>
                    <a:stretch>
                      <a:fillRect/>
                    </a:stretch>
                  </pic:blipFill>
                  <pic:spPr>
                    <a:xfrm>
                      <a:off x="0" y="0"/>
                      <a:ext cx="6119495" cy="2821940"/>
                    </a:xfrm>
                    <a:prstGeom prst="rect">
                      <a:avLst/>
                    </a:prstGeom>
                    <a:ln w="3175" cmpd="sng">
                      <a:solidFill>
                        <a:srgbClr val="000000"/>
                      </a:solidFill>
                    </a:ln>
                  </pic:spPr>
                </pic:pic>
              </a:graphicData>
            </a:graphic>
          </wp:inline>
        </w:drawing>
      </w:r>
    </w:p>
    <w:p w14:paraId="49AEE397">
      <w:pPr>
        <w:pStyle w:val="74"/>
      </w:pPr>
      <w:bookmarkStart w:id="3079" w:name="_Ref133517106"/>
      <w:r>
        <w:t xml:space="preserve">Рисунок </w:t>
      </w:r>
      <w:r>
        <w:fldChar w:fldCharType="begin"/>
      </w:r>
      <w:r>
        <w:instrText xml:space="preserve"> SEQ Рисунок \* ARABIC </w:instrText>
      </w:r>
      <w:r>
        <w:fldChar w:fldCharType="separate"/>
      </w:r>
      <w:r>
        <w:t>221</w:t>
      </w:r>
      <w:r>
        <w:fldChar w:fldCharType="end"/>
      </w:r>
      <w:bookmarkEnd w:id="3079"/>
      <w:r>
        <w:t xml:space="preserve"> — Реестр СЭФД</w:t>
      </w:r>
    </w:p>
    <w:p w14:paraId="3C485B76">
      <w:pPr>
        <w:pStyle w:val="69"/>
      </w:pPr>
      <w:r>
        <w:t>Если список СЭФД пуст, то необходимо выполнить поиск по пациенту в панели фильтрации и поиска информации и нажать кнопку «Найти».</w:t>
      </w:r>
    </w:p>
    <w:p w14:paraId="11EB35DF">
      <w:pPr>
        <w:pStyle w:val="69"/>
      </w:pPr>
      <w:r>
        <w:t xml:space="preserve">Результатом выполнения контрольного примера является отображение в рабочей области СЭФД СТЦ с детальными данными (рис. </w:t>
      </w:r>
      <w:r>
        <w:fldChar w:fldCharType="begin"/>
      </w:r>
      <w:r>
        <w:instrText xml:space="preserve"> REF  _Ref136359860 \h\#\0  \* MERGEFORMAT </w:instrText>
      </w:r>
      <w:r>
        <w:fldChar w:fldCharType="separate"/>
      </w:r>
      <w:r>
        <w:t>222</w:t>
      </w:r>
      <w:r>
        <w:fldChar w:fldCharType="end"/>
      </w:r>
      <w:r>
        <w:t xml:space="preserve">) и данных ЗЛ, на которое заведен данный документ (рис. </w:t>
      </w:r>
      <w:r>
        <w:fldChar w:fldCharType="begin"/>
      </w:r>
      <w:r>
        <w:instrText xml:space="preserve"> REF  _Ref150270332 \h\#\0   \* MERGEFORMAT </w:instrText>
      </w:r>
      <w:r>
        <w:fldChar w:fldCharType="separate"/>
      </w:r>
      <w:r>
        <w:t>223</w:t>
      </w:r>
      <w:r>
        <w:fldChar w:fldCharType="end"/>
      </w:r>
      <w:r>
        <w:t>).</w:t>
      </w:r>
    </w:p>
    <w:p w14:paraId="29D0E646">
      <w:pPr>
        <w:pStyle w:val="73"/>
      </w:pPr>
      <w:r>
        <w:drawing>
          <wp:inline distT="0" distB="0" distL="0" distR="0">
            <wp:extent cx="6049010" cy="2968625"/>
            <wp:effectExtent l="19050" t="19050" r="27940" b="222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a:xfrm>
                      <a:off x="0" y="0"/>
                      <a:ext cx="6049010" cy="2968625"/>
                    </a:xfrm>
                    <a:prstGeom prst="rect">
                      <a:avLst/>
                    </a:prstGeom>
                    <a:noFill/>
                    <a:ln w="3175" cmpd="sng">
                      <a:solidFill>
                        <a:srgbClr val="000000"/>
                      </a:solidFill>
                    </a:ln>
                  </pic:spPr>
                </pic:pic>
              </a:graphicData>
            </a:graphic>
          </wp:inline>
        </w:drawing>
      </w:r>
    </w:p>
    <w:p w14:paraId="4E1ED143">
      <w:pPr>
        <w:pStyle w:val="74"/>
      </w:pPr>
      <w:bookmarkStart w:id="3080" w:name="_Ref136359860"/>
      <w:r>
        <w:t xml:space="preserve">Рисунок </w:t>
      </w:r>
      <w:r>
        <w:fldChar w:fldCharType="begin"/>
      </w:r>
      <w:r>
        <w:instrText xml:space="preserve"> SEQ Рисунок \* ARABIC </w:instrText>
      </w:r>
      <w:r>
        <w:fldChar w:fldCharType="separate"/>
      </w:r>
      <w:r>
        <w:t>222</w:t>
      </w:r>
      <w:r>
        <w:fldChar w:fldCharType="end"/>
      </w:r>
      <w:bookmarkEnd w:id="3080"/>
      <w:r>
        <w:t xml:space="preserve"> — СЭФД СТЦ</w:t>
      </w:r>
    </w:p>
    <w:p w14:paraId="6D15415F">
      <w:pPr>
        <w:pStyle w:val="74"/>
        <w:keepNext/>
      </w:pPr>
      <w:r>
        <w:drawing>
          <wp:inline distT="0" distB="0" distL="0" distR="0">
            <wp:extent cx="2072640" cy="3566160"/>
            <wp:effectExtent l="19050" t="19050" r="22860" b="152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2072640" cy="3566160"/>
                    </a:xfrm>
                    <a:prstGeom prst="rect">
                      <a:avLst/>
                    </a:prstGeom>
                    <a:noFill/>
                    <a:ln w="3175" cmpd="sng">
                      <a:solidFill>
                        <a:srgbClr val="000000"/>
                      </a:solidFill>
                    </a:ln>
                  </pic:spPr>
                </pic:pic>
              </a:graphicData>
            </a:graphic>
          </wp:inline>
        </w:drawing>
      </w:r>
    </w:p>
    <w:p w14:paraId="7A22C97D">
      <w:pPr>
        <w:pStyle w:val="74"/>
      </w:pPr>
      <w:bookmarkStart w:id="3081" w:name="_Ref150270332"/>
      <w:r>
        <w:t xml:space="preserve">Рисунок </w:t>
      </w:r>
      <w:r>
        <w:fldChar w:fldCharType="begin"/>
      </w:r>
      <w:r>
        <w:instrText xml:space="preserve"> SEQ Рисунок \* ARABIC </w:instrText>
      </w:r>
      <w:r>
        <w:fldChar w:fldCharType="separate"/>
      </w:r>
      <w:r>
        <w:t>223</w:t>
      </w:r>
      <w:r>
        <w:fldChar w:fldCharType="end"/>
      </w:r>
      <w:bookmarkEnd w:id="3081"/>
    </w:p>
    <w:p w14:paraId="0F4EDC46">
      <w:pPr>
        <w:pStyle w:val="57"/>
      </w:pPr>
      <w:bookmarkStart w:id="3082" w:name="_Toc150261790"/>
      <w:bookmarkStart w:id="3083" w:name="_Toc225866395"/>
      <w:bookmarkStart w:id="3084" w:name="_Toc149209715"/>
      <w:bookmarkStart w:id="3085" w:name="_Ref163216644"/>
      <w:r>
        <w:rPr>
          <w:rFonts w:hint="eastAsia"/>
        </w:rPr>
        <w:t>Порядок</w:t>
      </w:r>
      <w:r>
        <w:t xml:space="preserve"> </w:t>
      </w:r>
      <w:r>
        <w:rPr>
          <w:rFonts w:hint="eastAsia"/>
        </w:rPr>
        <w:t>обращения</w:t>
      </w:r>
      <w:r>
        <w:t xml:space="preserve"> </w:t>
      </w:r>
      <w:r>
        <w:rPr>
          <w:rFonts w:hint="eastAsia"/>
        </w:rPr>
        <w:t>в</w:t>
      </w:r>
      <w:r>
        <w:t xml:space="preserve"> </w:t>
      </w:r>
      <w:r>
        <w:rPr>
          <w:rFonts w:hint="eastAsia"/>
        </w:rPr>
        <w:t>службу</w:t>
      </w:r>
      <w:r>
        <w:t xml:space="preserve"> технической </w:t>
      </w:r>
      <w:r>
        <w:rPr>
          <w:rFonts w:hint="eastAsia"/>
        </w:rPr>
        <w:t>поддержи</w:t>
      </w:r>
      <w:bookmarkEnd w:id="3082"/>
      <w:bookmarkEnd w:id="3083"/>
      <w:bookmarkEnd w:id="3084"/>
      <w:bookmarkEnd w:id="3085"/>
    </w:p>
    <w:p w14:paraId="5912437D">
      <w:pPr>
        <w:pStyle w:val="58"/>
      </w:pPr>
      <w:bookmarkStart w:id="3086" w:name="_Toc225866396"/>
      <w:bookmarkStart w:id="3087" w:name="_Toc150261791"/>
      <w:bookmarkStart w:id="3088" w:name="_Toc149209716"/>
      <w:bookmarkStart w:id="3089" w:name="_Toc205914526"/>
      <w:r>
        <w:t xml:space="preserve">Средства обращения в </w:t>
      </w:r>
      <w:bookmarkStart w:id="3090" w:name="_Hlk146547834"/>
      <w:r>
        <w:t>службу технической поддержи</w:t>
      </w:r>
      <w:bookmarkEnd w:id="3086"/>
      <w:bookmarkEnd w:id="3087"/>
      <w:bookmarkEnd w:id="3088"/>
      <w:bookmarkEnd w:id="3089"/>
      <w:bookmarkEnd w:id="3090"/>
    </w:p>
    <w:p w14:paraId="2CB40833">
      <w:pPr>
        <w:pStyle w:val="69"/>
      </w:pPr>
      <w:r>
        <w:t>Обращение в службу технической поддержи осуществляется посредством специализированной системы управления заявками СУЗ. Заявка в СУЗ создается пользователем самостоятельно.</w:t>
      </w:r>
    </w:p>
    <w:p w14:paraId="11AB54B0">
      <w:pPr>
        <w:pStyle w:val="58"/>
      </w:pPr>
      <w:bookmarkStart w:id="3091" w:name="_Toc225866397"/>
      <w:bookmarkStart w:id="3092" w:name="_Toc149209717"/>
      <w:bookmarkStart w:id="3093" w:name="_Toc205914527"/>
      <w:bookmarkStart w:id="3094" w:name="_Toc150261792"/>
      <w:r>
        <w:t>Направление обращения с использованием СУЗ</w:t>
      </w:r>
      <w:bookmarkEnd w:id="3091"/>
      <w:bookmarkEnd w:id="3092"/>
      <w:bookmarkEnd w:id="3093"/>
      <w:bookmarkEnd w:id="3094"/>
    </w:p>
    <w:p w14:paraId="74DC9457">
      <w:pPr>
        <w:pStyle w:val="60"/>
      </w:pPr>
      <w:bookmarkStart w:id="3095" w:name="_Toc205914528"/>
      <w:bookmarkStart w:id="3096" w:name="_Toc150261793"/>
      <w:bookmarkStart w:id="3097" w:name="_Toc149209718"/>
      <w:bookmarkStart w:id="3098" w:name="_Toc225866398"/>
      <w:r>
        <w:t>Вход в СУЗ</w:t>
      </w:r>
      <w:bookmarkEnd w:id="3095"/>
      <w:bookmarkEnd w:id="3096"/>
      <w:bookmarkEnd w:id="3097"/>
      <w:bookmarkEnd w:id="3098"/>
    </w:p>
    <w:p w14:paraId="4D33B47B">
      <w:pPr>
        <w:pStyle w:val="69"/>
      </w:pPr>
      <w:r>
        <w:t>Для обращения в службу технической поддержи с использованием СУЗ:</w:t>
      </w:r>
    </w:p>
    <w:p w14:paraId="539FBBA8">
      <w:pPr>
        <w:pStyle w:val="76"/>
      </w:pPr>
      <w:r>
        <w:t>ввести в поисковую строку браузера адрес портала https://support2.ffoms.gov.ru/ и</w:t>
      </w:r>
      <w:r>
        <w:rPr>
          <w:lang w:val="en-US"/>
        </w:rPr>
        <w:t> </w:t>
      </w:r>
      <w:r>
        <w:t>нажать клавишу «Enter».</w:t>
      </w:r>
    </w:p>
    <w:p w14:paraId="31EF083B">
      <w:pPr>
        <w:pStyle w:val="69"/>
      </w:pPr>
      <w:r>
        <w:t>В открывшемся окне авторизации системы СУЗ указать данные учетной записи, заполнив поля «Логин» и «Пароль», и нажать кнопку «Войти».</w:t>
      </w:r>
    </w:p>
    <w:p w14:paraId="3A1B7E00">
      <w:pPr>
        <w:pStyle w:val="60"/>
      </w:pPr>
      <w:bookmarkStart w:id="3099" w:name="_Toc149209719"/>
      <w:bookmarkStart w:id="3100" w:name="_Toc150261794"/>
      <w:bookmarkStart w:id="3101" w:name="_Toc225866399"/>
      <w:bookmarkStart w:id="3102" w:name="_Toc205914529"/>
      <w:r>
        <w:t>Создание нового обращения (заявки)</w:t>
      </w:r>
      <w:bookmarkEnd w:id="3099"/>
      <w:bookmarkEnd w:id="3100"/>
      <w:bookmarkEnd w:id="3101"/>
      <w:bookmarkEnd w:id="3102"/>
    </w:p>
    <w:p w14:paraId="4BBD932D">
      <w:pPr>
        <w:pStyle w:val="69"/>
      </w:pPr>
      <w:r>
        <w:t>Для создания нового обращения нажать кнопку «Создать заявку» на главной странице.</w:t>
      </w:r>
    </w:p>
    <w:p w14:paraId="42C402A2">
      <w:pPr>
        <w:pStyle w:val="69"/>
      </w:pPr>
      <w:r>
        <w:t>Необходимо выбрать сервис «ФПУМП», после чего выбрать тип обращения:</w:t>
      </w:r>
    </w:p>
    <w:p w14:paraId="74A5E028">
      <w:pPr>
        <w:pStyle w:val="76"/>
      </w:pPr>
      <w:r>
        <w:t>«Запрос консультации» — заявки, связанные с вопросами пользователей по функционалу сервисов Подсистемы;</w:t>
      </w:r>
    </w:p>
    <w:p w14:paraId="1A956089">
      <w:pPr>
        <w:pStyle w:val="76"/>
      </w:pPr>
      <w:r>
        <w:t>«Инцидент» — заявки, связанные с доступностью работы;</w:t>
      </w:r>
    </w:p>
    <w:p w14:paraId="6FA520F0">
      <w:pPr>
        <w:pStyle w:val="76"/>
      </w:pPr>
      <w:r>
        <w:t>«Запрос на изменение» — заявки, связанные с изменением функциональности Подсистем.</w:t>
      </w:r>
    </w:p>
    <w:p w14:paraId="2CED87BB">
      <w:pPr>
        <w:pStyle w:val="69"/>
      </w:pPr>
      <w:r>
        <w:t>В открывшейся форме создания новой заявки необходимо заполнить поля:</w:t>
      </w:r>
    </w:p>
    <w:p w14:paraId="2F7CE42E">
      <w:pPr>
        <w:pStyle w:val="76"/>
      </w:pPr>
      <w:bookmarkStart w:id="3103" w:name="_Hlk171349315"/>
      <w:r>
        <w:t>«</w:t>
      </w:r>
      <w:bookmarkEnd w:id="3103"/>
      <w:r>
        <w:t>Название» — наименование обращения, отражающее суть проблемы;</w:t>
      </w:r>
    </w:p>
    <w:p w14:paraId="654A8AFB">
      <w:pPr>
        <w:pStyle w:val="76"/>
      </w:pPr>
      <w:r>
        <w:t>«Описание» — подробное описание действий, которые привели к</w:t>
      </w:r>
      <w:r>
        <w:rPr>
          <w:lang w:val="en-US"/>
        </w:rPr>
        <w:t> </w:t>
      </w:r>
      <w:r>
        <w:t>возникновению проблемы;</w:t>
      </w:r>
    </w:p>
    <w:p w14:paraId="77C2A9F4">
      <w:pPr>
        <w:pStyle w:val="76"/>
      </w:pPr>
      <w:r>
        <w:t>«Наименование субъекта» — код и наименование субъекта, к которому относится организация заявителя. Выбор значения из выпадающего списка.</w:t>
      </w:r>
    </w:p>
    <w:p w14:paraId="01FEEFA1">
      <w:pPr>
        <w:pStyle w:val="69"/>
      </w:pPr>
      <w:r>
        <w:t>В обращении должно содержаться описание только одной проблемы. В случае указания пользователем в обращении более одного вопроса специалисты службы технической поддержи принимают в работу только один вопрос, который определяют после дополнительных консультаций с пользователем.</w:t>
      </w:r>
    </w:p>
    <w:p w14:paraId="2C3B9BE0">
      <w:pPr>
        <w:pStyle w:val="69"/>
      </w:pPr>
      <w:r>
        <w:t>Для быстрого и точного решения возникшей проблемы рекомендуется:</w:t>
      </w:r>
    </w:p>
    <w:p w14:paraId="05D7B68C">
      <w:pPr>
        <w:pStyle w:val="76"/>
      </w:pPr>
      <w:r>
        <w:t>указать логин пользователя, под которым возникли проблемы;</w:t>
      </w:r>
    </w:p>
    <w:p w14:paraId="3F82DEFE">
      <w:pPr>
        <w:pStyle w:val="76"/>
      </w:pPr>
      <w:r>
        <w:t>привести пошаговое описание действий, которые привели к возникновению проблемы;</w:t>
      </w:r>
    </w:p>
    <w:p w14:paraId="1AB190B7">
      <w:pPr>
        <w:pStyle w:val="76"/>
      </w:pPr>
      <w:r>
        <w:t>приложить иллюстрирующие скриншоты или любую другую информацию, которая имеет отношение к описываемой проблеме.</w:t>
      </w:r>
    </w:p>
    <w:p w14:paraId="2909792D">
      <w:pPr>
        <w:pStyle w:val="69"/>
      </w:pPr>
      <w:r>
        <w:t>Для сохранения и отправки заявки нажать кнопку «Сохранить».</w:t>
      </w:r>
    </w:p>
    <w:p w14:paraId="6B7A6BC4">
      <w:pPr>
        <w:pStyle w:val="69"/>
      </w:pPr>
      <w:r>
        <w:t>! При обращении в службу технической поддержки обращаем Ваше внимание на необходимость соблюдения правил работы с информацией, содержащей персональные данные.</w:t>
      </w:r>
    </w:p>
    <w:p w14:paraId="528535CA">
      <w:pPr>
        <w:pStyle w:val="58"/>
      </w:pPr>
      <w:bookmarkStart w:id="3104" w:name="_Toc205914530"/>
      <w:bookmarkStart w:id="3105" w:name="_Toc150261795"/>
      <w:bookmarkStart w:id="3106" w:name="_Toc149209720"/>
      <w:bookmarkStart w:id="3107" w:name="_Toc225866400"/>
      <w:r>
        <w:t>Соблюдение этических норм</w:t>
      </w:r>
      <w:bookmarkEnd w:id="3104"/>
      <w:bookmarkEnd w:id="3105"/>
      <w:bookmarkEnd w:id="3106"/>
      <w:bookmarkEnd w:id="3107"/>
    </w:p>
    <w:p w14:paraId="5B6D5C53">
      <w:pPr>
        <w:pStyle w:val="69"/>
      </w:pPr>
      <w:r>
        <w:t>Общение пользователя и специалиста службы технической поддержи должно быть корректным, соответствующим общепринятым нормам этикета и культуры речи. Не допускаются оскорбления и нецензурные выражения.</w:t>
      </w:r>
    </w:p>
    <w:p w14:paraId="0D7BC31B">
      <w:pPr>
        <w:pStyle w:val="69"/>
      </w:pPr>
      <w:r>
        <w:t>Специалист службы технической поддержи может прекратить обработку обращения пользователя в случае, если пользователь нарушает нормы деловой этики. Такая заявка закрывается со статусом «Необоснованная» и считается решенной.</w:t>
      </w:r>
    </w:p>
    <w:p w14:paraId="66D7FDC9">
      <w:pPr>
        <w:pStyle w:val="36"/>
      </w:pPr>
      <w:bookmarkStart w:id="3108" w:name="_Hlk166516379"/>
      <w:r>
        <w:br w:type="textWrapping"/>
      </w:r>
      <w:bookmarkStart w:id="3109" w:name="_Ref225767861"/>
      <w:bookmarkStart w:id="3110" w:name="_Toc225866401"/>
      <w:r>
        <w:t>(справочное)</w:t>
      </w:r>
      <w:r>
        <w:br w:type="textWrapping"/>
      </w:r>
      <w:r>
        <w:t>Статусы счетов на оплату</w:t>
      </w:r>
      <w:bookmarkEnd w:id="3109"/>
      <w:bookmarkEnd w:id="3110"/>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4446"/>
        <w:gridCol w:w="5305"/>
      </w:tblGrid>
      <w:tr w14:paraId="05E3A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blHeader/>
        </w:trPr>
        <w:tc>
          <w:tcPr>
            <w:tcW w:w="2280" w:type="pct"/>
            <w:tcBorders>
              <w:bottom w:val="double" w:color="auto" w:sz="4" w:space="0"/>
            </w:tcBorders>
            <w:vAlign w:val="center"/>
          </w:tcPr>
          <w:p w14:paraId="13A747F9">
            <w:pPr>
              <w:pStyle w:val="79"/>
              <w:rPr>
                <w:bCs/>
              </w:rPr>
            </w:pPr>
            <w:r>
              <w:t>Статус счета</w:t>
            </w:r>
          </w:p>
        </w:tc>
        <w:tc>
          <w:tcPr>
            <w:tcW w:w="2720" w:type="pct"/>
            <w:tcBorders>
              <w:bottom w:val="double" w:color="auto" w:sz="4" w:space="0"/>
            </w:tcBorders>
            <w:vAlign w:val="center"/>
          </w:tcPr>
          <w:p w14:paraId="1380DC59">
            <w:pPr>
              <w:pStyle w:val="79"/>
              <w:rPr>
                <w:bCs/>
              </w:rPr>
            </w:pPr>
            <w:r>
              <w:t>Описание состояния счета</w:t>
            </w:r>
          </w:p>
        </w:tc>
      </w:tr>
      <w:tr w14:paraId="5DD01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Borders>
              <w:top w:val="double" w:color="auto" w:sz="4" w:space="0"/>
            </w:tcBorders>
          </w:tcPr>
          <w:p w14:paraId="694A83F4">
            <w:pPr>
              <w:pStyle w:val="80"/>
            </w:pPr>
            <w:r>
              <w:t>Черновик</w:t>
            </w:r>
          </w:p>
        </w:tc>
        <w:tc>
          <w:tcPr>
            <w:tcW w:w="2720" w:type="pct"/>
            <w:tcBorders>
              <w:top w:val="double" w:color="auto" w:sz="4" w:space="0"/>
            </w:tcBorders>
          </w:tcPr>
          <w:p w14:paraId="6AB51290">
            <w:pPr>
              <w:pStyle w:val="80"/>
            </w:pPr>
            <w:r>
              <w:t>Технический статус. Счет не сформирован МО</w:t>
            </w:r>
          </w:p>
        </w:tc>
      </w:tr>
      <w:tr w14:paraId="455C5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7885D484">
            <w:pPr>
              <w:pStyle w:val="80"/>
            </w:pPr>
            <w:r>
              <w:t>Техническая ошибка</w:t>
            </w:r>
          </w:p>
        </w:tc>
        <w:tc>
          <w:tcPr>
            <w:tcW w:w="2720" w:type="pct"/>
          </w:tcPr>
          <w:p w14:paraId="4136C93C">
            <w:pPr>
              <w:pStyle w:val="80"/>
            </w:pPr>
            <w:r>
              <w:t>Ошибка из-за технической неисправности. Необходимо переформировать счет на стороне МО</w:t>
            </w:r>
          </w:p>
        </w:tc>
      </w:tr>
      <w:tr w14:paraId="7B464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7441B69E">
            <w:pPr>
              <w:pStyle w:val="80"/>
            </w:pPr>
            <w:r>
              <w:t>Ошибка (предыдущий успешный статус)</w:t>
            </w:r>
          </w:p>
        </w:tc>
        <w:tc>
          <w:tcPr>
            <w:tcW w:w="2720" w:type="pct"/>
          </w:tcPr>
          <w:p w14:paraId="1807B8B9">
            <w:pPr>
              <w:pStyle w:val="80"/>
            </w:pPr>
            <w:r>
              <w:t>Технический статус, возникает при сбоях системы либо нарушении процессов со стороны пользователя</w:t>
            </w:r>
          </w:p>
        </w:tc>
      </w:tr>
      <w:tr w14:paraId="28DDD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4BB23E8B">
            <w:pPr>
              <w:pStyle w:val="80"/>
            </w:pPr>
            <w:r>
              <w:t>Формирование</w:t>
            </w:r>
          </w:p>
        </w:tc>
        <w:tc>
          <w:tcPr>
            <w:tcW w:w="2720" w:type="pct"/>
          </w:tcPr>
          <w:p w14:paraId="101640A0">
            <w:pPr>
              <w:pStyle w:val="80"/>
            </w:pPr>
            <w:r>
              <w:t>Счет на этапе формирования на стороне МО</w:t>
            </w:r>
          </w:p>
        </w:tc>
      </w:tr>
      <w:tr w14:paraId="394A6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3B2CF877">
            <w:pPr>
              <w:pStyle w:val="80"/>
            </w:pPr>
            <w:r>
              <w:t>Сформирован</w:t>
            </w:r>
          </w:p>
        </w:tc>
        <w:tc>
          <w:tcPr>
            <w:tcW w:w="2720" w:type="pct"/>
          </w:tcPr>
          <w:p w14:paraId="4744D289">
            <w:pPr>
              <w:pStyle w:val="80"/>
            </w:pPr>
            <w:r>
              <w:t>Счет сформирован, готов к подписанию МО</w:t>
            </w:r>
          </w:p>
        </w:tc>
      </w:tr>
      <w:tr w14:paraId="5F759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5A506D47">
            <w:pPr>
              <w:pStyle w:val="80"/>
            </w:pPr>
            <w:r>
              <w:t>Подготавливается к отправке плательщику</w:t>
            </w:r>
          </w:p>
        </w:tc>
        <w:tc>
          <w:tcPr>
            <w:tcW w:w="2720" w:type="pct"/>
          </w:tcPr>
          <w:p w14:paraId="5A7D1DF9">
            <w:pPr>
              <w:pStyle w:val="80"/>
            </w:pPr>
            <w:r>
              <w:t>Сформированный счет подготавливается к отправке</w:t>
            </w:r>
          </w:p>
        </w:tc>
      </w:tr>
      <w:tr w14:paraId="23B82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7F93755A">
            <w:pPr>
              <w:pStyle w:val="80"/>
            </w:pPr>
            <w:r>
              <w:t>Подписывается МО</w:t>
            </w:r>
          </w:p>
        </w:tc>
        <w:tc>
          <w:tcPr>
            <w:tcW w:w="2720" w:type="pct"/>
          </w:tcPr>
          <w:p w14:paraId="5709F0A2">
            <w:pPr>
              <w:pStyle w:val="80"/>
            </w:pPr>
            <w:r>
              <w:t>Счет на этапе подписания ЭЦП на стороне МО</w:t>
            </w:r>
          </w:p>
        </w:tc>
      </w:tr>
      <w:tr w14:paraId="1D4A8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3B103D8E">
            <w:pPr>
              <w:pStyle w:val="80"/>
            </w:pPr>
            <w:r>
              <w:t>Подписан МО</w:t>
            </w:r>
          </w:p>
        </w:tc>
        <w:tc>
          <w:tcPr>
            <w:tcW w:w="2720" w:type="pct"/>
          </w:tcPr>
          <w:p w14:paraId="791640FB">
            <w:pPr>
              <w:pStyle w:val="80"/>
            </w:pPr>
            <w:r>
              <w:t>Подписан МО, готов к отправке Плательщику</w:t>
            </w:r>
          </w:p>
        </w:tc>
      </w:tr>
      <w:tr w14:paraId="4CD8E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3EF2573C">
            <w:pPr>
              <w:pStyle w:val="80"/>
            </w:pPr>
            <w:r>
              <w:t>Отправлен плательщику</w:t>
            </w:r>
          </w:p>
        </w:tc>
        <w:tc>
          <w:tcPr>
            <w:tcW w:w="2720" w:type="pct"/>
          </w:tcPr>
          <w:p w14:paraId="72095E2E">
            <w:pPr>
              <w:pStyle w:val="80"/>
            </w:pPr>
            <w:r>
              <w:t>Счет отправлен Плательщику, возможно проведения МЭК и формирования предварительного/финального ответа</w:t>
            </w:r>
          </w:p>
        </w:tc>
      </w:tr>
      <w:tr w14:paraId="75CC2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7667F9C6">
            <w:pPr>
              <w:pStyle w:val="80"/>
            </w:pPr>
            <w:r>
              <w:t>Идет перерасчет МЭК</w:t>
            </w:r>
          </w:p>
        </w:tc>
        <w:tc>
          <w:tcPr>
            <w:tcW w:w="2720" w:type="pct"/>
          </w:tcPr>
          <w:p w14:paraId="0DE62961">
            <w:pPr>
              <w:pStyle w:val="80"/>
            </w:pPr>
            <w:r>
              <w:t>Идет перерасчет МЭК на стороне плательщика</w:t>
            </w:r>
          </w:p>
        </w:tc>
      </w:tr>
      <w:tr w14:paraId="16D4A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6A9D0A69">
            <w:pPr>
              <w:pStyle w:val="80"/>
            </w:pPr>
            <w:r>
              <w:t>Формирование предварительного ответа плательщика</w:t>
            </w:r>
          </w:p>
        </w:tc>
        <w:tc>
          <w:tcPr>
            <w:tcW w:w="2720" w:type="pct"/>
          </w:tcPr>
          <w:p w14:paraId="25A55176">
            <w:pPr>
              <w:pStyle w:val="80"/>
            </w:pPr>
            <w:r>
              <w:t>Предварительный ответ Плательщика на этапе формирования</w:t>
            </w:r>
          </w:p>
        </w:tc>
      </w:tr>
      <w:tr w14:paraId="2A041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056B3090">
            <w:pPr>
              <w:pStyle w:val="80"/>
            </w:pPr>
            <w:r>
              <w:t>Предварительный ответ плательщика сформирован</w:t>
            </w:r>
          </w:p>
        </w:tc>
        <w:tc>
          <w:tcPr>
            <w:tcW w:w="2720" w:type="pct"/>
          </w:tcPr>
          <w:p w14:paraId="7C32B876">
            <w:pPr>
              <w:pStyle w:val="80"/>
            </w:pPr>
            <w:r>
              <w:t>Предварительный ответ готов к отправке в МО. Возможен перерасчёт МЭК</w:t>
            </w:r>
          </w:p>
        </w:tc>
      </w:tr>
      <w:tr w14:paraId="21027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3D86B591">
            <w:pPr>
              <w:pStyle w:val="80"/>
            </w:pPr>
            <w:r>
              <w:t>Отправка предварительного ответа</w:t>
            </w:r>
          </w:p>
        </w:tc>
        <w:tc>
          <w:tcPr>
            <w:tcW w:w="2720" w:type="pct"/>
          </w:tcPr>
          <w:p w14:paraId="73F0543D">
            <w:pPr>
              <w:pStyle w:val="80"/>
            </w:pPr>
            <w:r>
              <w:t>Предварительный ответ отправлен в МО, возможно повторное формирование счета</w:t>
            </w:r>
          </w:p>
        </w:tc>
      </w:tr>
      <w:tr w14:paraId="6AE2C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5B791D72">
            <w:pPr>
              <w:pStyle w:val="80"/>
            </w:pPr>
            <w:r>
              <w:t>Формируется ответ плательщика (финальный)</w:t>
            </w:r>
          </w:p>
        </w:tc>
        <w:tc>
          <w:tcPr>
            <w:tcW w:w="2720" w:type="pct"/>
          </w:tcPr>
          <w:p w14:paraId="506B939A">
            <w:pPr>
              <w:pStyle w:val="80"/>
            </w:pPr>
            <w:r>
              <w:t>Финальный ответ Плательщика на этапе формирования</w:t>
            </w:r>
          </w:p>
        </w:tc>
      </w:tr>
      <w:tr w14:paraId="2B12B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09E1EF01">
            <w:pPr>
              <w:pStyle w:val="80"/>
            </w:pPr>
            <w:r>
              <w:t>Сформирован ответ плательщика (финальный)</w:t>
            </w:r>
          </w:p>
        </w:tc>
        <w:tc>
          <w:tcPr>
            <w:tcW w:w="2720" w:type="pct"/>
          </w:tcPr>
          <w:p w14:paraId="3B9AB6E1">
            <w:pPr>
              <w:pStyle w:val="80"/>
            </w:pPr>
            <w:r>
              <w:t>Финальный ответ Плательщика сформирован, готов к подписанию. Возможен перерасчет МЭК</w:t>
            </w:r>
          </w:p>
        </w:tc>
      </w:tr>
      <w:tr w14:paraId="2D7ED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34256A08">
            <w:pPr>
              <w:pStyle w:val="80"/>
            </w:pPr>
            <w:r>
              <w:t xml:space="preserve">Подписывается плательщиком </w:t>
            </w:r>
          </w:p>
        </w:tc>
        <w:tc>
          <w:tcPr>
            <w:tcW w:w="2720" w:type="pct"/>
          </w:tcPr>
          <w:p w14:paraId="1A618EF9">
            <w:pPr>
              <w:pStyle w:val="80"/>
            </w:pPr>
            <w:r>
              <w:t>Финальный ответ Плательщика на этапе подписания ЭЦП</w:t>
            </w:r>
          </w:p>
        </w:tc>
      </w:tr>
      <w:tr w14:paraId="5AAEC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1924E183">
            <w:pPr>
              <w:pStyle w:val="80"/>
            </w:pPr>
            <w:r>
              <w:t>Подписан плательщиком</w:t>
            </w:r>
          </w:p>
        </w:tc>
        <w:tc>
          <w:tcPr>
            <w:tcW w:w="2720" w:type="pct"/>
          </w:tcPr>
          <w:p w14:paraId="36EC2DF1">
            <w:pPr>
              <w:pStyle w:val="80"/>
            </w:pPr>
            <w:r>
              <w:t>Финальный ответ Плательщика подписан, готов к отправке в МО</w:t>
            </w:r>
          </w:p>
        </w:tc>
      </w:tr>
      <w:tr w14:paraId="06851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rPr>
        <w:tc>
          <w:tcPr>
            <w:tcW w:w="2280" w:type="pct"/>
          </w:tcPr>
          <w:p w14:paraId="4C86288C">
            <w:pPr>
              <w:pStyle w:val="80"/>
            </w:pPr>
            <w:r>
              <w:t>Отправлен ответ плательщика МО (финальный)</w:t>
            </w:r>
          </w:p>
        </w:tc>
        <w:tc>
          <w:tcPr>
            <w:tcW w:w="2720" w:type="pct"/>
          </w:tcPr>
          <w:p w14:paraId="51CE695C">
            <w:pPr>
              <w:pStyle w:val="80"/>
            </w:pPr>
            <w:r>
              <w:t>Финальный ответ Плательщика отправлен в МО. Возможен перерасчет МЭК. Возможно формирование новой версии счета если отчетный период не закрыт</w:t>
            </w:r>
          </w:p>
        </w:tc>
      </w:tr>
    </w:tbl>
    <w:p w14:paraId="4A1E83AD">
      <w:pPr>
        <w:pStyle w:val="69"/>
      </w:pPr>
    </w:p>
    <w:p w14:paraId="077D4922">
      <w:pPr>
        <w:pStyle w:val="36"/>
      </w:pPr>
      <w:r>
        <w:br w:type="textWrapping"/>
      </w:r>
      <w:bookmarkStart w:id="3111" w:name="_Ref225767831"/>
      <w:bookmarkStart w:id="3112" w:name="_Toc225866402"/>
      <w:r>
        <w:t>(справочное)</w:t>
      </w:r>
      <w:r>
        <w:br w:type="textWrapping"/>
      </w:r>
      <w:r>
        <w:t>Типы счетов</w:t>
      </w:r>
      <w:bookmarkEnd w:id="3111"/>
      <w:bookmarkEnd w:id="3112"/>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1708"/>
        <w:gridCol w:w="7985"/>
      </w:tblGrid>
      <w:tr w14:paraId="70993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tblHeader/>
          <w:jc w:val="center"/>
        </w:trPr>
        <w:tc>
          <w:tcPr>
            <w:tcW w:w="881" w:type="pct"/>
            <w:tcBorders>
              <w:bottom w:val="double" w:color="auto" w:sz="4" w:space="0"/>
            </w:tcBorders>
            <w:vAlign w:val="center"/>
          </w:tcPr>
          <w:p w14:paraId="1AE89AD9">
            <w:pPr>
              <w:pStyle w:val="106"/>
            </w:pPr>
            <w:r>
              <w:t>Код</w:t>
            </w:r>
          </w:p>
        </w:tc>
        <w:tc>
          <w:tcPr>
            <w:tcW w:w="4119" w:type="pct"/>
            <w:tcBorders>
              <w:bottom w:val="double" w:color="auto" w:sz="4" w:space="0"/>
            </w:tcBorders>
            <w:vAlign w:val="center"/>
          </w:tcPr>
          <w:p w14:paraId="6889268F">
            <w:pPr>
              <w:pStyle w:val="106"/>
            </w:pPr>
            <w:r>
              <w:t>Значение</w:t>
            </w:r>
          </w:p>
        </w:tc>
      </w:tr>
      <w:tr w14:paraId="364E7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double" w:color="auto" w:sz="4" w:space="0"/>
              <w:bottom w:val="single" w:color="auto" w:sz="4" w:space="0"/>
            </w:tcBorders>
            <w:vAlign w:val="center"/>
          </w:tcPr>
          <w:p w14:paraId="3FF3695E">
            <w:pPr>
              <w:pStyle w:val="106"/>
            </w:pPr>
            <w:r>
              <w:rPr>
                <w:lang w:val="en-US"/>
              </w:rPr>
              <w:t>0</w:t>
            </w:r>
            <w:r>
              <w:t>1</w:t>
            </w:r>
          </w:p>
        </w:tc>
        <w:tc>
          <w:tcPr>
            <w:tcW w:w="4119" w:type="pct"/>
            <w:tcBorders>
              <w:top w:val="double" w:color="auto" w:sz="4" w:space="0"/>
              <w:bottom w:val="single" w:color="auto" w:sz="4" w:space="0"/>
            </w:tcBorders>
            <w:vAlign w:val="center"/>
          </w:tcPr>
          <w:p w14:paraId="781E1D14">
            <w:pPr>
              <w:pStyle w:val="106"/>
              <w:jc w:val="left"/>
            </w:pPr>
            <w:r>
              <w:t>Базовая программа</w:t>
            </w:r>
          </w:p>
        </w:tc>
      </w:tr>
      <w:tr w14:paraId="49DCE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single" w:color="auto" w:sz="4" w:space="0"/>
              <w:bottom w:val="single" w:color="auto" w:sz="4" w:space="0"/>
            </w:tcBorders>
            <w:vAlign w:val="center"/>
          </w:tcPr>
          <w:p w14:paraId="7A697CDB">
            <w:pPr>
              <w:pStyle w:val="106"/>
            </w:pPr>
            <w:r>
              <w:t>02</w:t>
            </w:r>
          </w:p>
        </w:tc>
        <w:tc>
          <w:tcPr>
            <w:tcW w:w="4119" w:type="pct"/>
            <w:tcBorders>
              <w:top w:val="single" w:color="auto" w:sz="4" w:space="0"/>
              <w:bottom w:val="single" w:color="auto" w:sz="4" w:space="0"/>
            </w:tcBorders>
            <w:vAlign w:val="center"/>
          </w:tcPr>
          <w:p w14:paraId="3BE7E22F">
            <w:pPr>
              <w:pStyle w:val="106"/>
              <w:jc w:val="left"/>
            </w:pPr>
            <w:r>
              <w:t>Счет по иногородним пациентам</w:t>
            </w:r>
          </w:p>
        </w:tc>
      </w:tr>
      <w:tr w14:paraId="42641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single" w:color="auto" w:sz="4" w:space="0"/>
              <w:bottom w:val="single" w:color="auto" w:sz="4" w:space="0"/>
            </w:tcBorders>
            <w:vAlign w:val="center"/>
          </w:tcPr>
          <w:p w14:paraId="3B57C945">
            <w:pPr>
              <w:pStyle w:val="106"/>
            </w:pPr>
            <w:r>
              <w:t>03</w:t>
            </w:r>
          </w:p>
        </w:tc>
        <w:tc>
          <w:tcPr>
            <w:tcW w:w="4119" w:type="pct"/>
            <w:tcBorders>
              <w:top w:val="single" w:color="auto" w:sz="4" w:space="0"/>
              <w:bottom w:val="single" w:color="auto" w:sz="4" w:space="0"/>
            </w:tcBorders>
            <w:vAlign w:val="center"/>
          </w:tcPr>
          <w:p w14:paraId="31D13828">
            <w:pPr>
              <w:pStyle w:val="106"/>
              <w:jc w:val="left"/>
            </w:pPr>
            <w:r>
              <w:t>Счет по территориальной базовой программе</w:t>
            </w:r>
          </w:p>
        </w:tc>
      </w:tr>
      <w:tr w14:paraId="30AAE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single" w:color="auto" w:sz="4" w:space="0"/>
              <w:bottom w:val="single" w:color="auto" w:sz="4" w:space="0"/>
            </w:tcBorders>
            <w:vAlign w:val="center"/>
          </w:tcPr>
          <w:p w14:paraId="143C90C1">
            <w:pPr>
              <w:pStyle w:val="106"/>
            </w:pPr>
            <w:r>
              <w:t>04</w:t>
            </w:r>
          </w:p>
        </w:tc>
        <w:tc>
          <w:tcPr>
            <w:tcW w:w="4119" w:type="pct"/>
            <w:tcBorders>
              <w:top w:val="single" w:color="auto" w:sz="4" w:space="0"/>
              <w:bottom w:val="single" w:color="auto" w:sz="4" w:space="0"/>
            </w:tcBorders>
            <w:vAlign w:val="center"/>
          </w:tcPr>
          <w:p w14:paraId="7289EF36">
            <w:pPr>
              <w:pStyle w:val="106"/>
              <w:jc w:val="left"/>
            </w:pPr>
            <w:r>
              <w:t>Счет по повторной идентификации (иногородние)</w:t>
            </w:r>
          </w:p>
        </w:tc>
      </w:tr>
      <w:tr w14:paraId="55D8D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single" w:color="auto" w:sz="4" w:space="0"/>
              <w:bottom w:val="single" w:color="auto" w:sz="4" w:space="0"/>
            </w:tcBorders>
            <w:vAlign w:val="center"/>
          </w:tcPr>
          <w:p w14:paraId="274D140E">
            <w:pPr>
              <w:pStyle w:val="106"/>
            </w:pPr>
            <w:r>
              <w:t>05</w:t>
            </w:r>
          </w:p>
        </w:tc>
        <w:tc>
          <w:tcPr>
            <w:tcW w:w="4119" w:type="pct"/>
            <w:tcBorders>
              <w:top w:val="single" w:color="auto" w:sz="4" w:space="0"/>
              <w:bottom w:val="single" w:color="auto" w:sz="4" w:space="0"/>
            </w:tcBorders>
            <w:vAlign w:val="center"/>
          </w:tcPr>
          <w:p w14:paraId="53073068">
            <w:pPr>
              <w:pStyle w:val="106"/>
              <w:jc w:val="left"/>
            </w:pPr>
            <w:r>
              <w:t>Счет по повторной идентификации (застрахованные)</w:t>
            </w:r>
          </w:p>
        </w:tc>
      </w:tr>
      <w:tr w14:paraId="1BC85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single" w:color="auto" w:sz="4" w:space="0"/>
              <w:bottom w:val="single" w:color="auto" w:sz="4" w:space="0"/>
            </w:tcBorders>
            <w:vAlign w:val="center"/>
          </w:tcPr>
          <w:p w14:paraId="7BF0A977">
            <w:pPr>
              <w:pStyle w:val="106"/>
            </w:pPr>
            <w:r>
              <w:t>06</w:t>
            </w:r>
          </w:p>
        </w:tc>
        <w:tc>
          <w:tcPr>
            <w:tcW w:w="4119" w:type="pct"/>
            <w:tcBorders>
              <w:top w:val="single" w:color="auto" w:sz="4" w:space="0"/>
              <w:bottom w:val="single" w:color="auto" w:sz="4" w:space="0"/>
            </w:tcBorders>
            <w:vAlign w:val="center"/>
          </w:tcPr>
          <w:p w14:paraId="5AA23496">
            <w:pPr>
              <w:pStyle w:val="106"/>
              <w:jc w:val="left"/>
            </w:pPr>
            <w:r>
              <w:t>Счет по неидентифицированным</w:t>
            </w:r>
          </w:p>
        </w:tc>
      </w:tr>
      <w:tr w14:paraId="4FF35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single" w:color="auto" w:sz="4" w:space="0"/>
              <w:bottom w:val="single" w:color="auto" w:sz="4" w:space="0"/>
            </w:tcBorders>
            <w:vAlign w:val="center"/>
          </w:tcPr>
          <w:p w14:paraId="6EB7FD6C">
            <w:pPr>
              <w:pStyle w:val="106"/>
            </w:pPr>
            <w:r>
              <w:t>07</w:t>
            </w:r>
          </w:p>
        </w:tc>
        <w:tc>
          <w:tcPr>
            <w:tcW w:w="4119" w:type="pct"/>
            <w:tcBorders>
              <w:top w:val="single" w:color="auto" w:sz="4" w:space="0"/>
              <w:bottom w:val="single" w:color="auto" w:sz="4" w:space="0"/>
            </w:tcBorders>
            <w:vAlign w:val="center"/>
          </w:tcPr>
          <w:p w14:paraId="238211D8">
            <w:pPr>
              <w:pStyle w:val="106"/>
              <w:jc w:val="left"/>
            </w:pPr>
            <w:r>
              <w:t>Счет по авиамедицине</w:t>
            </w:r>
          </w:p>
        </w:tc>
      </w:tr>
      <w:tr w14:paraId="77619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single" w:color="auto" w:sz="4" w:space="0"/>
              <w:bottom w:val="single" w:color="auto" w:sz="4" w:space="0"/>
            </w:tcBorders>
            <w:vAlign w:val="center"/>
          </w:tcPr>
          <w:p w14:paraId="4662E64E">
            <w:pPr>
              <w:pStyle w:val="106"/>
            </w:pPr>
            <w:r>
              <w:t>08</w:t>
            </w:r>
          </w:p>
        </w:tc>
        <w:tc>
          <w:tcPr>
            <w:tcW w:w="4119" w:type="pct"/>
            <w:tcBorders>
              <w:top w:val="single" w:color="auto" w:sz="4" w:space="0"/>
              <w:bottom w:val="single" w:color="auto" w:sz="4" w:space="0"/>
            </w:tcBorders>
            <w:vAlign w:val="center"/>
          </w:tcPr>
          <w:p w14:paraId="5B2A0DD5">
            <w:pPr>
              <w:pStyle w:val="106"/>
              <w:jc w:val="left"/>
            </w:pPr>
            <w:r>
              <w:t>Счет по психиатрической медицине</w:t>
            </w:r>
          </w:p>
        </w:tc>
      </w:tr>
      <w:tr w14:paraId="3EDAE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single" w:color="auto" w:sz="4" w:space="0"/>
              <w:bottom w:val="single" w:color="auto" w:sz="4" w:space="0"/>
            </w:tcBorders>
            <w:vAlign w:val="center"/>
          </w:tcPr>
          <w:p w14:paraId="7658AC4B">
            <w:pPr>
              <w:pStyle w:val="106"/>
            </w:pPr>
            <w:r>
              <w:t>09</w:t>
            </w:r>
          </w:p>
        </w:tc>
        <w:tc>
          <w:tcPr>
            <w:tcW w:w="4119" w:type="pct"/>
            <w:tcBorders>
              <w:top w:val="single" w:color="auto" w:sz="4" w:space="0"/>
              <w:bottom w:val="single" w:color="auto" w:sz="4" w:space="0"/>
            </w:tcBorders>
            <w:vAlign w:val="center"/>
          </w:tcPr>
          <w:p w14:paraId="42D6A093">
            <w:pPr>
              <w:pStyle w:val="106"/>
              <w:jc w:val="left"/>
            </w:pPr>
            <w:r>
              <w:t>Счет по сверхбазовой программе КСГ</w:t>
            </w:r>
          </w:p>
        </w:tc>
      </w:tr>
      <w:tr w14:paraId="30D3F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single" w:color="auto" w:sz="4" w:space="0"/>
              <w:bottom w:val="single" w:color="auto" w:sz="4" w:space="0"/>
            </w:tcBorders>
            <w:vAlign w:val="center"/>
          </w:tcPr>
          <w:p w14:paraId="6FD49B56">
            <w:pPr>
              <w:pStyle w:val="106"/>
            </w:pPr>
            <w:r>
              <w:t>10</w:t>
            </w:r>
          </w:p>
        </w:tc>
        <w:tc>
          <w:tcPr>
            <w:tcW w:w="4119" w:type="pct"/>
            <w:tcBorders>
              <w:top w:val="single" w:color="auto" w:sz="4" w:space="0"/>
              <w:bottom w:val="single" w:color="auto" w:sz="4" w:space="0"/>
            </w:tcBorders>
            <w:vAlign w:val="center"/>
          </w:tcPr>
          <w:p w14:paraId="4A58196B">
            <w:pPr>
              <w:pStyle w:val="106"/>
              <w:jc w:val="left"/>
            </w:pPr>
            <w:r>
              <w:t>Счет по сверхбазовой программе АМБ</w:t>
            </w:r>
          </w:p>
        </w:tc>
      </w:tr>
      <w:tr w14:paraId="6354A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4" w:hRule="atLeast"/>
          <w:jc w:val="center"/>
        </w:trPr>
        <w:tc>
          <w:tcPr>
            <w:tcW w:w="881" w:type="pct"/>
            <w:tcBorders>
              <w:top w:val="single" w:color="auto" w:sz="4" w:space="0"/>
            </w:tcBorders>
            <w:vAlign w:val="center"/>
          </w:tcPr>
          <w:p w14:paraId="4F850AC5">
            <w:pPr>
              <w:pStyle w:val="106"/>
              <w:rPr>
                <w:lang w:val="en-US"/>
              </w:rPr>
            </w:pPr>
            <w:r>
              <w:rPr>
                <w:lang w:val="en-US"/>
              </w:rPr>
              <w:t>NOVALUE</w:t>
            </w:r>
          </w:p>
        </w:tc>
        <w:tc>
          <w:tcPr>
            <w:tcW w:w="4119" w:type="pct"/>
            <w:tcBorders>
              <w:top w:val="single" w:color="auto" w:sz="4" w:space="0"/>
            </w:tcBorders>
            <w:vAlign w:val="center"/>
          </w:tcPr>
          <w:p w14:paraId="3DFB0DFE">
            <w:pPr>
              <w:pStyle w:val="106"/>
              <w:jc w:val="left"/>
            </w:pPr>
            <w:r>
              <w:t>Потенциальный счет (счет МО с «ТПГГ и ПГГ», по которой нельзя подавать счета)</w:t>
            </w:r>
          </w:p>
        </w:tc>
      </w:tr>
    </w:tbl>
    <w:p w14:paraId="0AAF708B">
      <w:pPr>
        <w:pStyle w:val="69"/>
      </w:pPr>
    </w:p>
    <w:p w14:paraId="73B179F2">
      <w:pPr>
        <w:pStyle w:val="36"/>
      </w:pPr>
      <w:r>
        <w:br w:type="textWrapping"/>
      </w:r>
      <w:bookmarkStart w:id="3113" w:name="_Toc225866403"/>
      <w:bookmarkStart w:id="3114" w:name="_Toc185352734"/>
      <w:bookmarkStart w:id="3115" w:name="_Ref184982730"/>
      <w:r>
        <w:t>(справочное)</w:t>
      </w:r>
      <w:r>
        <w:br w:type="textWrapping"/>
      </w:r>
      <w:r>
        <w:t xml:space="preserve">Просмотр файлов формата </w:t>
      </w:r>
      <w:r>
        <w:rPr>
          <w:lang w:val="en-US"/>
        </w:rPr>
        <w:t>XML</w:t>
      </w:r>
      <w:r>
        <w:t xml:space="preserve"> и </w:t>
      </w:r>
      <w:r>
        <w:rPr>
          <w:lang w:val="en-US"/>
        </w:rPr>
        <w:t>CSV</w:t>
      </w:r>
      <w:bookmarkEnd w:id="3113"/>
      <w:bookmarkEnd w:id="3114"/>
      <w:bookmarkEnd w:id="3115"/>
    </w:p>
    <w:p w14:paraId="7AA0348B">
      <w:pPr>
        <w:pStyle w:val="37"/>
      </w:pPr>
      <w:bookmarkStart w:id="3116" w:name="_Toc185352735"/>
      <w:bookmarkStart w:id="3117" w:name="_Toc225866404"/>
      <w:r>
        <w:t xml:space="preserve">Просмотр файлов формата </w:t>
      </w:r>
      <w:r>
        <w:rPr>
          <w:lang w:val="en-US"/>
        </w:rPr>
        <w:t>XML</w:t>
      </w:r>
      <w:bookmarkEnd w:id="3116"/>
      <w:bookmarkEnd w:id="3117"/>
    </w:p>
    <w:p w14:paraId="6F0CAD9B">
      <w:pPr>
        <w:pStyle w:val="69"/>
      </w:pPr>
      <w:r>
        <w:t xml:space="preserve">Просмотреть файлы формата </w:t>
      </w:r>
      <w:r>
        <w:rPr>
          <w:lang w:val="en-US"/>
        </w:rPr>
        <w:t>XML</w:t>
      </w:r>
      <w:r>
        <w:t xml:space="preserve"> (имя_файла.</w:t>
      </w:r>
      <w:r>
        <w:rPr>
          <w:lang w:val="en-US"/>
        </w:rPr>
        <w:t>xml</w:t>
      </w:r>
      <w:r>
        <w:t>) можно с использованием веб-браузера, установленного на АРМ пользователя.</w:t>
      </w:r>
    </w:p>
    <w:p w14:paraId="546D0FEA">
      <w:pPr>
        <w:pStyle w:val="69"/>
      </w:pPr>
      <w:r>
        <w:t xml:space="preserve">Для открытия файла формата </w:t>
      </w:r>
      <w:r>
        <w:rPr>
          <w:lang w:val="en-US"/>
        </w:rPr>
        <w:t>XML</w:t>
      </w:r>
      <w:r>
        <w:t xml:space="preserve"> необходимо зажать клавишу </w:t>
      </w:r>
      <w:r>
        <w:rPr>
          <w:lang w:val="en-US"/>
        </w:rPr>
        <w:t>Shift</w:t>
      </w:r>
      <w:r>
        <w:t>, нажать на значок файла правой кнопкой мыши, в открывшемся меню в пункте «Открыть с помощью» выбрать доступный веб-браузер.</w:t>
      </w:r>
    </w:p>
    <w:p w14:paraId="7708608B">
      <w:pPr>
        <w:pStyle w:val="69"/>
      </w:pPr>
      <w:r>
        <w:t xml:space="preserve">На экране отобразится окно просмотра файла формата </w:t>
      </w:r>
      <w:r>
        <w:rPr>
          <w:lang w:val="en-US"/>
        </w:rPr>
        <w:t>XML</w:t>
      </w:r>
      <w:r>
        <w:t>.</w:t>
      </w:r>
    </w:p>
    <w:p w14:paraId="176C9ADA">
      <w:pPr>
        <w:pStyle w:val="37"/>
      </w:pPr>
      <w:bookmarkStart w:id="3118" w:name="_Toc185352736"/>
      <w:bookmarkStart w:id="3119" w:name="_Toc225866405"/>
      <w:r>
        <w:t xml:space="preserve">Просмотр файлов формата </w:t>
      </w:r>
      <w:r>
        <w:rPr>
          <w:lang w:val="en-US"/>
        </w:rPr>
        <w:t>CSV</w:t>
      </w:r>
      <w:bookmarkEnd w:id="3118"/>
      <w:bookmarkEnd w:id="3119"/>
    </w:p>
    <w:p w14:paraId="3C7D5578">
      <w:pPr>
        <w:pStyle w:val="69"/>
      </w:pPr>
      <w:r>
        <w:t xml:space="preserve">Просмотреть файлы формата </w:t>
      </w:r>
      <w:r>
        <w:rPr>
          <w:lang w:val="en-US"/>
        </w:rPr>
        <w:t>CSV</w:t>
      </w:r>
      <w:r>
        <w:t xml:space="preserve"> (имя_файла.</w:t>
      </w:r>
      <w:r>
        <w:rPr>
          <w:lang w:val="en-US"/>
        </w:rPr>
        <w:t>csv</w:t>
      </w:r>
      <w:r>
        <w:t>) можно с использованием приложения для работы с таблицами (например, Exce</w:t>
      </w:r>
      <w:r>
        <w:rPr>
          <w:lang w:val="en-US"/>
        </w:rPr>
        <w:t>l</w:t>
      </w:r>
      <w:r>
        <w:t>).</w:t>
      </w:r>
    </w:p>
    <w:p w14:paraId="2F449FE1">
      <w:pPr>
        <w:pStyle w:val="69"/>
      </w:pPr>
      <w:r>
        <w:t xml:space="preserve">Для просмотра файла формата </w:t>
      </w:r>
      <w:r>
        <w:rPr>
          <w:lang w:val="en-US"/>
        </w:rPr>
        <w:t>CSV</w:t>
      </w:r>
      <w:r>
        <w:t xml:space="preserve"> </w:t>
      </w:r>
      <w:r>
        <w:rPr>
          <w:lang w:val="en-US"/>
        </w:rPr>
        <w:t>c</w:t>
      </w:r>
      <w:r>
        <w:t xml:space="preserve"> использованием </w:t>
      </w:r>
      <w:r>
        <w:rPr>
          <w:lang w:val="en-US"/>
        </w:rPr>
        <w:t>Excel</w:t>
      </w:r>
      <w:r>
        <w:t xml:space="preserve"> необходимо выполнить следующие действия:</w:t>
      </w:r>
    </w:p>
    <w:p w14:paraId="76B658EC">
      <w:pPr>
        <w:pStyle w:val="75"/>
        <w:numPr>
          <w:ilvl w:val="0"/>
          <w:numId w:val="21"/>
        </w:numPr>
        <w:ind w:left="0"/>
      </w:pPr>
      <w:r>
        <w:t xml:space="preserve">в приложении </w:t>
      </w:r>
      <w:r>
        <w:rPr>
          <w:lang w:val="en-US"/>
        </w:rPr>
        <w:t>Excel</w:t>
      </w:r>
      <w:r>
        <w:t xml:space="preserve"> на вкладке «Данные» выбрать пункт «Получить данные»;</w:t>
      </w:r>
    </w:p>
    <w:p w14:paraId="4C7E3BF0">
      <w:pPr>
        <w:pStyle w:val="75"/>
        <w:numPr>
          <w:ilvl w:val="0"/>
          <w:numId w:val="21"/>
        </w:numPr>
        <w:ind w:left="0"/>
      </w:pPr>
      <w:r>
        <w:t>в открывшемся меню выбрать пункт «Из файла» и указать тип источника «Из текстового/</w:t>
      </w:r>
      <w:r>
        <w:rPr>
          <w:lang w:val="en-US"/>
        </w:rPr>
        <w:t>CSV</w:t>
      </w:r>
      <w:r>
        <w:t xml:space="preserve">-файла» (рис. </w:t>
      </w:r>
      <w:r>
        <w:fldChar w:fldCharType="begin"/>
      </w:r>
      <w:r>
        <w:instrText xml:space="preserve"> REF  _Ref184983914 \h \t \#0 \* MERGEFORMAT </w:instrText>
      </w:r>
      <w:r>
        <w:fldChar w:fldCharType="separate"/>
      </w:r>
      <w:r>
        <w:t>224</w:t>
      </w:r>
      <w:r>
        <w:fldChar w:fldCharType="end"/>
      </w:r>
      <w:r>
        <w:t>);</w:t>
      </w:r>
    </w:p>
    <w:p w14:paraId="21CE36BD">
      <w:pPr>
        <w:pStyle w:val="73"/>
      </w:pPr>
      <w:r>
        <w:drawing>
          <wp:inline distT="0" distB="0" distL="0" distR="0">
            <wp:extent cx="4679950" cy="3956050"/>
            <wp:effectExtent l="19050" t="19050" r="25400" b="25400"/>
            <wp:docPr id="19879389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938969" name="Рисунок 1"/>
                    <pic:cNvPicPr>
                      <a:picLocks noChangeAspect="1"/>
                    </pic:cNvPicPr>
                  </pic:nvPicPr>
                  <pic:blipFill>
                    <a:blip r:embed="rId259"/>
                    <a:stretch>
                      <a:fillRect/>
                    </a:stretch>
                  </pic:blipFill>
                  <pic:spPr>
                    <a:xfrm>
                      <a:off x="0" y="0"/>
                      <a:ext cx="4680000" cy="3956521"/>
                    </a:xfrm>
                    <a:prstGeom prst="rect">
                      <a:avLst/>
                    </a:prstGeom>
                    <a:ln w="3175" cmpd="sng">
                      <a:solidFill>
                        <a:srgbClr val="000000"/>
                      </a:solidFill>
                    </a:ln>
                  </pic:spPr>
                </pic:pic>
              </a:graphicData>
            </a:graphic>
          </wp:inline>
        </w:drawing>
      </w:r>
    </w:p>
    <w:p w14:paraId="7F16AE3F">
      <w:pPr>
        <w:pStyle w:val="74"/>
      </w:pPr>
      <w:bookmarkStart w:id="3120" w:name="_Ref184983914"/>
      <w:r>
        <w:t xml:space="preserve">Рисунок </w:t>
      </w:r>
      <w:r>
        <w:fldChar w:fldCharType="begin"/>
      </w:r>
      <w:r>
        <w:instrText xml:space="preserve"> SEQ Рисунок \* ARABIC </w:instrText>
      </w:r>
      <w:r>
        <w:fldChar w:fldCharType="separate"/>
      </w:r>
      <w:r>
        <w:t>224</w:t>
      </w:r>
      <w:r>
        <w:fldChar w:fldCharType="end"/>
      </w:r>
      <w:bookmarkEnd w:id="3120"/>
      <w:r>
        <w:t xml:space="preserve"> — Вкладка «Данные». Выбор источника</w:t>
      </w:r>
    </w:p>
    <w:p w14:paraId="2427B2EE">
      <w:pPr>
        <w:pStyle w:val="75"/>
      </w:pPr>
      <w:r>
        <w:t>в открывшемся окне «Импорт данных» выбрать нужный файл и нажать кнопку «Импорт». В открывшемся меню будут представлены автоматически определенные значения параметров «Источник файла» (по умолчанию: Юникод (</w:t>
      </w:r>
      <w:r>
        <w:rPr>
          <w:lang w:val="en-US"/>
        </w:rPr>
        <w:t>UTF</w:t>
      </w:r>
      <w:r>
        <w:t>-8)), «Разделитель», «Обнаружение типов данных»;</w:t>
      </w:r>
    </w:p>
    <w:p w14:paraId="22081AAC">
      <w:pPr>
        <w:pStyle w:val="75"/>
      </w:pPr>
      <w:r>
        <w:t xml:space="preserve">убедиться, что в поле «Разделитель» отображается значение «Точка с запятой» и нажать кнопку «Загрузить». Массив данных будет разделен на столбцы (рис. </w:t>
      </w:r>
      <w:r>
        <w:fldChar w:fldCharType="begin"/>
      </w:r>
      <w:r>
        <w:instrText xml:space="preserve"> REF  _Ref184985781 \h \t \#0 \* MERGEFORMAT </w:instrText>
      </w:r>
      <w:r>
        <w:fldChar w:fldCharType="separate"/>
      </w:r>
      <w:r>
        <w:t>225</w:t>
      </w:r>
      <w:r>
        <w:fldChar w:fldCharType="end"/>
      </w:r>
      <w:r>
        <w:t>).</w:t>
      </w:r>
    </w:p>
    <w:p w14:paraId="2BF3F388">
      <w:pPr>
        <w:pStyle w:val="73"/>
      </w:pPr>
      <w:r>
        <w:drawing>
          <wp:inline distT="0" distB="0" distL="0" distR="0">
            <wp:extent cx="5759450" cy="3824605"/>
            <wp:effectExtent l="19050" t="19050" r="12700" b="23495"/>
            <wp:docPr id="5824730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473013" name="Рисунок 1"/>
                    <pic:cNvPicPr>
                      <a:picLocks noChangeAspect="1"/>
                    </pic:cNvPicPr>
                  </pic:nvPicPr>
                  <pic:blipFill>
                    <a:blip r:embed="rId260"/>
                    <a:stretch>
                      <a:fillRect/>
                    </a:stretch>
                  </pic:blipFill>
                  <pic:spPr>
                    <a:xfrm>
                      <a:off x="0" y="0"/>
                      <a:ext cx="5760000" cy="3824659"/>
                    </a:xfrm>
                    <a:prstGeom prst="rect">
                      <a:avLst/>
                    </a:prstGeom>
                    <a:ln w="3175" cmpd="sng">
                      <a:solidFill>
                        <a:srgbClr val="000000"/>
                      </a:solidFill>
                    </a:ln>
                  </pic:spPr>
                </pic:pic>
              </a:graphicData>
            </a:graphic>
          </wp:inline>
        </w:drawing>
      </w:r>
    </w:p>
    <w:p w14:paraId="48D260FA">
      <w:pPr>
        <w:pStyle w:val="74"/>
      </w:pPr>
      <w:bookmarkStart w:id="3121" w:name="_Ref184985781"/>
      <w:r>
        <w:t xml:space="preserve">Рисунок </w:t>
      </w:r>
      <w:r>
        <w:fldChar w:fldCharType="begin"/>
      </w:r>
      <w:r>
        <w:instrText xml:space="preserve"> SEQ Рисунок \* ARABIC </w:instrText>
      </w:r>
      <w:r>
        <w:fldChar w:fldCharType="separate"/>
      </w:r>
      <w:r>
        <w:t>225</w:t>
      </w:r>
      <w:r>
        <w:fldChar w:fldCharType="end"/>
      </w:r>
      <w:bookmarkEnd w:id="3121"/>
      <w:r>
        <w:t xml:space="preserve"> — Данные, разделенные на столбцы</w:t>
      </w:r>
    </w:p>
    <w:p w14:paraId="49DF35FB">
      <w:pPr>
        <w:pStyle w:val="69"/>
      </w:pPr>
      <w:r>
        <w:t xml:space="preserve">Если данные не разделены на столбцы, то значение параметра «Разделитель» определено неверно (рис. </w:t>
      </w:r>
      <w:r>
        <w:fldChar w:fldCharType="begin"/>
      </w:r>
      <w:r>
        <w:instrText xml:space="preserve"> REF  _Ref184987665 \h \t \#0 \* MERGEFORMAT </w:instrText>
      </w:r>
      <w:r>
        <w:fldChar w:fldCharType="separate"/>
      </w:r>
      <w:r>
        <w:t>226</w:t>
      </w:r>
      <w:r>
        <w:fldChar w:fldCharType="end"/>
      </w:r>
      <w:r>
        <w:t>). Необходимо в параметре «Разделитель» установить значение «Точка с запятой».</w:t>
      </w:r>
    </w:p>
    <w:p w14:paraId="1326ABE3">
      <w:pPr>
        <w:pStyle w:val="73"/>
      </w:pPr>
      <w:r>
        <w:drawing>
          <wp:inline distT="0" distB="0" distL="0" distR="0">
            <wp:extent cx="5759450" cy="2314575"/>
            <wp:effectExtent l="19050" t="19050" r="12700" b="9525"/>
            <wp:docPr id="20453225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22566" name="Рисунок 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a:xfrm>
                      <a:off x="0" y="0"/>
                      <a:ext cx="5760000" cy="2314766"/>
                    </a:xfrm>
                    <a:prstGeom prst="rect">
                      <a:avLst/>
                    </a:prstGeom>
                    <a:noFill/>
                    <a:ln w="3175" cmpd="sng">
                      <a:solidFill>
                        <a:srgbClr val="000000"/>
                      </a:solidFill>
                    </a:ln>
                  </pic:spPr>
                </pic:pic>
              </a:graphicData>
            </a:graphic>
          </wp:inline>
        </w:drawing>
      </w:r>
    </w:p>
    <w:p w14:paraId="4D9CE4CD">
      <w:pPr>
        <w:pStyle w:val="74"/>
      </w:pPr>
      <w:bookmarkStart w:id="3122" w:name="_Ref184987665"/>
      <w:r>
        <w:t xml:space="preserve">Рисунок </w:t>
      </w:r>
      <w:r>
        <w:fldChar w:fldCharType="begin"/>
      </w:r>
      <w:r>
        <w:instrText xml:space="preserve"> SEQ Рисунок \* ARABIC </w:instrText>
      </w:r>
      <w:r>
        <w:fldChar w:fldCharType="separate"/>
      </w:r>
      <w:r>
        <w:t>226</w:t>
      </w:r>
      <w:r>
        <w:fldChar w:fldCharType="end"/>
      </w:r>
      <w:bookmarkEnd w:id="3122"/>
      <w:r>
        <w:t xml:space="preserve"> — Данные, не разделенные на столбцы</w:t>
      </w:r>
    </w:p>
    <w:bookmarkEnd w:id="3108"/>
    <w:p w14:paraId="73C973A5">
      <w:pPr>
        <w:pStyle w:val="55"/>
      </w:pPr>
      <w:bookmarkStart w:id="3123" w:name="_Toc108520944"/>
      <w:bookmarkStart w:id="3124" w:name="_Toc108592900"/>
      <w:r>
        <w:t>Журнал изменений</w:t>
      </w:r>
      <w:bookmarkEnd w:id="3123"/>
      <w:bookmarkEnd w:id="3124"/>
    </w:p>
    <w:tbl>
      <w:tblPr>
        <w:tblStyle w:val="12"/>
        <w:tblW w:w="5000" w:type="pct"/>
        <w:tblInd w:w="0" w:type="dxa"/>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Layout w:type="autofit"/>
        <w:tblCellMar>
          <w:top w:w="57" w:type="dxa"/>
          <w:left w:w="57" w:type="dxa"/>
          <w:bottom w:w="57" w:type="dxa"/>
          <w:right w:w="57" w:type="dxa"/>
        </w:tblCellMar>
      </w:tblPr>
      <w:tblGrid>
        <w:gridCol w:w="589"/>
        <w:gridCol w:w="1463"/>
        <w:gridCol w:w="2381"/>
        <w:gridCol w:w="3395"/>
        <w:gridCol w:w="1923"/>
      </w:tblGrid>
      <w:tr w14:paraId="1FB3C732">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blHeader/>
        </w:trPr>
        <w:tc>
          <w:tcPr>
            <w:tcW w:w="302" w:type="pct"/>
            <w:tcBorders>
              <w:top w:val="single" w:color="auto" w:sz="4" w:space="0"/>
              <w:left w:val="single" w:color="auto" w:sz="4" w:space="0"/>
              <w:bottom w:val="double" w:color="auto" w:sz="4" w:space="0"/>
              <w:right w:val="single" w:color="auto" w:sz="4" w:space="0"/>
            </w:tcBorders>
            <w:vAlign w:val="center"/>
          </w:tcPr>
          <w:p w14:paraId="789C3A7F">
            <w:pPr>
              <w:pStyle w:val="79"/>
            </w:pPr>
            <w:r>
              <w:t>№ п/п</w:t>
            </w:r>
          </w:p>
        </w:tc>
        <w:tc>
          <w:tcPr>
            <w:tcW w:w="750" w:type="pct"/>
            <w:tcBorders>
              <w:top w:val="single" w:color="auto" w:sz="4" w:space="0"/>
              <w:left w:val="single" w:color="auto" w:sz="4" w:space="0"/>
              <w:bottom w:val="double" w:color="auto" w:sz="4" w:space="0"/>
              <w:right w:val="single" w:color="auto" w:sz="4" w:space="0"/>
            </w:tcBorders>
            <w:vAlign w:val="center"/>
          </w:tcPr>
          <w:p w14:paraId="1C7D13E6">
            <w:pPr>
              <w:pStyle w:val="79"/>
            </w:pPr>
            <w:r>
              <w:t>Дата изменения</w:t>
            </w:r>
          </w:p>
        </w:tc>
        <w:tc>
          <w:tcPr>
            <w:tcW w:w="1221" w:type="pct"/>
            <w:tcBorders>
              <w:top w:val="single" w:color="auto" w:sz="4" w:space="0"/>
              <w:left w:val="single" w:color="auto" w:sz="4" w:space="0"/>
              <w:bottom w:val="double" w:color="auto" w:sz="4" w:space="0"/>
              <w:right w:val="single" w:color="auto" w:sz="4" w:space="0"/>
            </w:tcBorders>
            <w:vAlign w:val="center"/>
          </w:tcPr>
          <w:p w14:paraId="0571187A">
            <w:pPr>
              <w:pStyle w:val="79"/>
            </w:pPr>
            <w:r>
              <w:t>Место изменения</w:t>
            </w:r>
          </w:p>
        </w:tc>
        <w:tc>
          <w:tcPr>
            <w:tcW w:w="1741" w:type="pct"/>
            <w:tcBorders>
              <w:top w:val="single" w:color="auto" w:sz="4" w:space="0"/>
              <w:left w:val="single" w:color="auto" w:sz="4" w:space="0"/>
              <w:bottom w:val="double" w:color="auto" w:sz="4" w:space="0"/>
              <w:right w:val="single" w:color="auto" w:sz="4" w:space="0"/>
            </w:tcBorders>
            <w:vAlign w:val="center"/>
          </w:tcPr>
          <w:p w14:paraId="5EC4C374">
            <w:pPr>
              <w:pStyle w:val="79"/>
            </w:pPr>
            <w:r>
              <w:t>Содержание изменения</w:t>
            </w:r>
          </w:p>
        </w:tc>
        <w:tc>
          <w:tcPr>
            <w:tcW w:w="986" w:type="pct"/>
            <w:tcBorders>
              <w:top w:val="single" w:color="auto" w:sz="4" w:space="0"/>
              <w:left w:val="single" w:color="auto" w:sz="4" w:space="0"/>
              <w:bottom w:val="double" w:color="auto" w:sz="4" w:space="0"/>
              <w:right w:val="single" w:color="auto" w:sz="4" w:space="0"/>
            </w:tcBorders>
            <w:vAlign w:val="center"/>
          </w:tcPr>
          <w:p w14:paraId="3D8B2FC1">
            <w:pPr>
              <w:pStyle w:val="79"/>
            </w:pPr>
            <w:r>
              <w:t>Изменил</w:t>
            </w:r>
          </w:p>
        </w:tc>
      </w:tr>
      <w:tr w14:paraId="69B49230">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40" w:hRule="atLeast"/>
        </w:trPr>
        <w:tc>
          <w:tcPr>
            <w:tcW w:w="5000" w:type="pct"/>
            <w:gridSpan w:val="5"/>
            <w:tcBorders>
              <w:top w:val="double" w:color="auto" w:sz="4" w:space="0"/>
              <w:left w:val="single" w:color="auto" w:sz="4" w:space="0"/>
              <w:bottom w:val="single" w:color="auto" w:sz="4" w:space="0"/>
              <w:right w:val="single" w:color="auto" w:sz="4" w:space="0"/>
            </w:tcBorders>
            <w:vAlign w:val="center"/>
          </w:tcPr>
          <w:p w14:paraId="74688B4A">
            <w:pPr>
              <w:pStyle w:val="80"/>
            </w:pPr>
            <w:r>
              <w:t>Версия 2.00</w:t>
            </w:r>
          </w:p>
        </w:tc>
      </w:tr>
      <w:tr w14:paraId="19379378">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4EED98F6">
            <w:pPr>
              <w:pStyle w:val="83"/>
            </w:pPr>
            <w:r>
              <w:t>1</w:t>
            </w:r>
          </w:p>
        </w:tc>
        <w:tc>
          <w:tcPr>
            <w:tcW w:w="750" w:type="pct"/>
            <w:tcBorders>
              <w:top w:val="single" w:color="auto" w:sz="4" w:space="0"/>
              <w:left w:val="single" w:color="auto" w:sz="4" w:space="0"/>
              <w:bottom w:val="single" w:color="auto" w:sz="4" w:space="0"/>
              <w:right w:val="single" w:color="auto" w:sz="4" w:space="0"/>
            </w:tcBorders>
          </w:tcPr>
          <w:p w14:paraId="0C12005E">
            <w:pPr>
              <w:pStyle w:val="80"/>
              <w:rPr>
                <w:szCs w:val="22"/>
              </w:rPr>
            </w:pPr>
            <w:r>
              <w:t>15.11.2024</w:t>
            </w:r>
          </w:p>
        </w:tc>
        <w:tc>
          <w:tcPr>
            <w:tcW w:w="1221" w:type="pct"/>
            <w:tcBorders>
              <w:top w:val="single" w:color="auto" w:sz="4" w:space="0"/>
              <w:left w:val="single" w:color="auto" w:sz="4" w:space="0"/>
              <w:bottom w:val="single" w:color="auto" w:sz="4" w:space="0"/>
              <w:right w:val="single" w:color="auto" w:sz="4" w:space="0"/>
            </w:tcBorders>
          </w:tcPr>
          <w:p w14:paraId="29A4D850">
            <w:pPr>
              <w:pStyle w:val="80"/>
            </w:pPr>
            <w:r>
              <w:t>Таблица 1 «Перечень выполняемых операций и задач», п.4.1</w:t>
            </w:r>
          </w:p>
        </w:tc>
        <w:tc>
          <w:tcPr>
            <w:tcW w:w="1741" w:type="pct"/>
            <w:tcBorders>
              <w:top w:val="single" w:color="auto" w:sz="4" w:space="0"/>
              <w:left w:val="single" w:color="auto" w:sz="4" w:space="0"/>
              <w:bottom w:val="single" w:color="auto" w:sz="4" w:space="0"/>
              <w:right w:val="single" w:color="auto" w:sz="4" w:space="0"/>
            </w:tcBorders>
          </w:tcPr>
          <w:p w14:paraId="340B3773">
            <w:pPr>
              <w:pStyle w:val="80"/>
            </w:pPr>
            <w:r>
              <w:t>Добавлена задача «Учет доступности коечного фонда МО»</w:t>
            </w:r>
          </w:p>
        </w:tc>
        <w:tc>
          <w:tcPr>
            <w:tcW w:w="986" w:type="pct"/>
            <w:tcBorders>
              <w:top w:val="single" w:color="auto" w:sz="4" w:space="0"/>
              <w:left w:val="single" w:color="auto" w:sz="4" w:space="0"/>
              <w:bottom w:val="single" w:color="auto" w:sz="4" w:space="0"/>
              <w:right w:val="single" w:color="auto" w:sz="4" w:space="0"/>
            </w:tcBorders>
          </w:tcPr>
          <w:p w14:paraId="2D5B0E12">
            <w:pPr>
              <w:pStyle w:val="80"/>
            </w:pPr>
            <w:r>
              <w:t>Сенотов С.Н.</w:t>
            </w:r>
          </w:p>
        </w:tc>
      </w:tr>
      <w:tr w14:paraId="517454FB">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04212EA6">
            <w:pPr>
              <w:pStyle w:val="83"/>
            </w:pPr>
            <w:r>
              <w:t>2</w:t>
            </w:r>
          </w:p>
        </w:tc>
        <w:tc>
          <w:tcPr>
            <w:tcW w:w="750" w:type="pct"/>
            <w:tcBorders>
              <w:top w:val="single" w:color="auto" w:sz="4" w:space="0"/>
              <w:left w:val="single" w:color="auto" w:sz="4" w:space="0"/>
              <w:bottom w:val="single" w:color="auto" w:sz="4" w:space="0"/>
              <w:right w:val="single" w:color="auto" w:sz="4" w:space="0"/>
            </w:tcBorders>
          </w:tcPr>
          <w:p w14:paraId="080757CC">
            <w:pPr>
              <w:pStyle w:val="80"/>
              <w:rPr>
                <w:szCs w:val="22"/>
              </w:rPr>
            </w:pPr>
            <w:r>
              <w:t>15.11.2024</w:t>
            </w:r>
          </w:p>
        </w:tc>
        <w:tc>
          <w:tcPr>
            <w:tcW w:w="1221" w:type="pct"/>
            <w:tcBorders>
              <w:top w:val="single" w:color="auto" w:sz="4" w:space="0"/>
              <w:left w:val="single" w:color="auto" w:sz="4" w:space="0"/>
              <w:bottom w:val="single" w:color="auto" w:sz="4" w:space="0"/>
              <w:right w:val="single" w:color="auto" w:sz="4" w:space="0"/>
            </w:tcBorders>
          </w:tcPr>
          <w:p w14:paraId="1CBFD726">
            <w:pPr>
              <w:pStyle w:val="80"/>
            </w:pPr>
            <w:r>
              <w:t>Таблица 1 «Перечень выполняемых операций и задач», п.4.1</w:t>
            </w:r>
          </w:p>
        </w:tc>
        <w:tc>
          <w:tcPr>
            <w:tcW w:w="1741" w:type="pct"/>
            <w:tcBorders>
              <w:top w:val="single" w:color="auto" w:sz="4" w:space="0"/>
              <w:left w:val="single" w:color="auto" w:sz="4" w:space="0"/>
              <w:bottom w:val="single" w:color="auto" w:sz="4" w:space="0"/>
              <w:right w:val="single" w:color="auto" w:sz="4" w:space="0"/>
            </w:tcBorders>
          </w:tcPr>
          <w:p w14:paraId="06AD7C77">
            <w:pPr>
              <w:pStyle w:val="80"/>
            </w:pPr>
            <w:r>
              <w:t>Добавлена задача «Просмотр сведений ОШС МО по данным ФРМО и ФРМР»</w:t>
            </w:r>
          </w:p>
        </w:tc>
        <w:tc>
          <w:tcPr>
            <w:tcW w:w="986" w:type="pct"/>
            <w:tcBorders>
              <w:top w:val="single" w:color="auto" w:sz="4" w:space="0"/>
              <w:left w:val="single" w:color="auto" w:sz="4" w:space="0"/>
              <w:bottom w:val="single" w:color="auto" w:sz="4" w:space="0"/>
              <w:right w:val="single" w:color="auto" w:sz="4" w:space="0"/>
            </w:tcBorders>
          </w:tcPr>
          <w:p w14:paraId="488C826C">
            <w:pPr>
              <w:pStyle w:val="80"/>
            </w:pPr>
            <w:r>
              <w:t>Сенотов С.Н.</w:t>
            </w:r>
          </w:p>
        </w:tc>
      </w:tr>
      <w:tr w14:paraId="5D4F2716">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3C165D1D">
            <w:pPr>
              <w:pStyle w:val="83"/>
            </w:pPr>
            <w:r>
              <w:t>3</w:t>
            </w:r>
          </w:p>
        </w:tc>
        <w:tc>
          <w:tcPr>
            <w:tcW w:w="750" w:type="pct"/>
            <w:tcBorders>
              <w:top w:val="single" w:color="auto" w:sz="4" w:space="0"/>
              <w:left w:val="single" w:color="auto" w:sz="4" w:space="0"/>
              <w:bottom w:val="single" w:color="auto" w:sz="4" w:space="0"/>
              <w:right w:val="single" w:color="auto" w:sz="4" w:space="0"/>
            </w:tcBorders>
          </w:tcPr>
          <w:p w14:paraId="40FEE87E">
            <w:pPr>
              <w:pStyle w:val="80"/>
            </w:pPr>
            <w:r>
              <w:t>15.11.2024</w:t>
            </w:r>
          </w:p>
        </w:tc>
        <w:tc>
          <w:tcPr>
            <w:tcW w:w="1221" w:type="pct"/>
            <w:tcBorders>
              <w:top w:val="single" w:color="auto" w:sz="4" w:space="0"/>
              <w:left w:val="single" w:color="auto" w:sz="4" w:space="0"/>
              <w:bottom w:val="single" w:color="auto" w:sz="4" w:space="0"/>
              <w:right w:val="single" w:color="auto" w:sz="4" w:space="0"/>
            </w:tcBorders>
          </w:tcPr>
          <w:p w14:paraId="0E2A0424">
            <w:pPr>
              <w:pStyle w:val="80"/>
            </w:pPr>
            <w:r>
              <w:t>Подраздел 4.4 «Просмотр сведений об оказанной медицинской помощи»</w:t>
            </w:r>
          </w:p>
        </w:tc>
        <w:tc>
          <w:tcPr>
            <w:tcW w:w="1741" w:type="pct"/>
            <w:tcBorders>
              <w:top w:val="single" w:color="auto" w:sz="4" w:space="0"/>
              <w:left w:val="single" w:color="auto" w:sz="4" w:space="0"/>
              <w:bottom w:val="single" w:color="auto" w:sz="4" w:space="0"/>
              <w:right w:val="single" w:color="auto" w:sz="4" w:space="0"/>
            </w:tcBorders>
          </w:tcPr>
          <w:p w14:paraId="7CED8ECC">
            <w:pPr>
              <w:pStyle w:val="80"/>
            </w:pPr>
            <w:r>
              <w:t>Добавлен пункт 4.4.5 «Просмотр сведений в составе СЭФД по разделу XV Правил ОМС»</w:t>
            </w:r>
          </w:p>
        </w:tc>
        <w:tc>
          <w:tcPr>
            <w:tcW w:w="986" w:type="pct"/>
            <w:tcBorders>
              <w:top w:val="single" w:color="auto" w:sz="4" w:space="0"/>
              <w:left w:val="single" w:color="auto" w:sz="4" w:space="0"/>
              <w:bottom w:val="single" w:color="auto" w:sz="4" w:space="0"/>
              <w:right w:val="single" w:color="auto" w:sz="4" w:space="0"/>
            </w:tcBorders>
          </w:tcPr>
          <w:p w14:paraId="408C3161">
            <w:pPr>
              <w:pStyle w:val="80"/>
            </w:pPr>
            <w:r>
              <w:t>Сенотов С.Н.</w:t>
            </w:r>
          </w:p>
        </w:tc>
      </w:tr>
      <w:tr w14:paraId="6A31EAE8">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76ED02AA">
            <w:pPr>
              <w:pStyle w:val="83"/>
              <w:rPr>
                <w:lang w:val="en-US"/>
              </w:rPr>
            </w:pPr>
            <w:r>
              <w:t>4</w:t>
            </w:r>
          </w:p>
        </w:tc>
        <w:tc>
          <w:tcPr>
            <w:tcW w:w="750" w:type="pct"/>
            <w:tcBorders>
              <w:top w:val="single" w:color="auto" w:sz="4" w:space="0"/>
              <w:left w:val="single" w:color="auto" w:sz="4" w:space="0"/>
              <w:bottom w:val="single" w:color="auto" w:sz="4" w:space="0"/>
              <w:right w:val="single" w:color="auto" w:sz="4" w:space="0"/>
            </w:tcBorders>
          </w:tcPr>
          <w:p w14:paraId="7D8C19A8">
            <w:pPr>
              <w:pStyle w:val="80"/>
              <w:rPr>
                <w:szCs w:val="22"/>
              </w:rPr>
            </w:pPr>
            <w:r>
              <w:t>15.11.2024</w:t>
            </w:r>
          </w:p>
        </w:tc>
        <w:tc>
          <w:tcPr>
            <w:tcW w:w="1221" w:type="pct"/>
            <w:tcBorders>
              <w:top w:val="single" w:color="auto" w:sz="4" w:space="0"/>
              <w:left w:val="single" w:color="auto" w:sz="4" w:space="0"/>
              <w:bottom w:val="single" w:color="auto" w:sz="4" w:space="0"/>
              <w:right w:val="single" w:color="auto" w:sz="4" w:space="0"/>
            </w:tcBorders>
          </w:tcPr>
          <w:p w14:paraId="02C14370">
            <w:pPr>
              <w:pStyle w:val="80"/>
            </w:pPr>
            <w:r>
              <w:t>Раздел 4 «Описание операций»</w:t>
            </w:r>
          </w:p>
        </w:tc>
        <w:tc>
          <w:tcPr>
            <w:tcW w:w="1741" w:type="pct"/>
            <w:tcBorders>
              <w:top w:val="single" w:color="auto" w:sz="4" w:space="0"/>
              <w:left w:val="single" w:color="auto" w:sz="4" w:space="0"/>
              <w:bottom w:val="single" w:color="auto" w:sz="4" w:space="0"/>
              <w:right w:val="single" w:color="auto" w:sz="4" w:space="0"/>
            </w:tcBorders>
          </w:tcPr>
          <w:p w14:paraId="4B44C779">
            <w:pPr>
              <w:pStyle w:val="80"/>
            </w:pPr>
            <w:r>
              <w:t>Добавлен подраздел 4.10 «Учет доступности коечного фонда»</w:t>
            </w:r>
          </w:p>
        </w:tc>
        <w:tc>
          <w:tcPr>
            <w:tcW w:w="986" w:type="pct"/>
            <w:tcBorders>
              <w:top w:val="single" w:color="auto" w:sz="4" w:space="0"/>
              <w:left w:val="single" w:color="auto" w:sz="4" w:space="0"/>
              <w:bottom w:val="single" w:color="auto" w:sz="4" w:space="0"/>
              <w:right w:val="single" w:color="auto" w:sz="4" w:space="0"/>
            </w:tcBorders>
          </w:tcPr>
          <w:p w14:paraId="28A5581C">
            <w:pPr>
              <w:pStyle w:val="80"/>
            </w:pPr>
            <w:r>
              <w:t>Сенотов С.Н.</w:t>
            </w:r>
          </w:p>
        </w:tc>
      </w:tr>
      <w:tr w14:paraId="175F68CC">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180DC417">
            <w:pPr>
              <w:pStyle w:val="83"/>
            </w:pPr>
            <w:r>
              <w:t>5</w:t>
            </w:r>
          </w:p>
        </w:tc>
        <w:tc>
          <w:tcPr>
            <w:tcW w:w="750" w:type="pct"/>
            <w:tcBorders>
              <w:top w:val="single" w:color="auto" w:sz="4" w:space="0"/>
              <w:left w:val="single" w:color="auto" w:sz="4" w:space="0"/>
              <w:bottom w:val="single" w:color="auto" w:sz="4" w:space="0"/>
              <w:right w:val="single" w:color="auto" w:sz="4" w:space="0"/>
            </w:tcBorders>
          </w:tcPr>
          <w:p w14:paraId="632858DB">
            <w:pPr>
              <w:pStyle w:val="80"/>
              <w:rPr>
                <w:szCs w:val="22"/>
              </w:rPr>
            </w:pPr>
            <w:r>
              <w:t>15.11.2024</w:t>
            </w:r>
          </w:p>
        </w:tc>
        <w:tc>
          <w:tcPr>
            <w:tcW w:w="1221" w:type="pct"/>
            <w:tcBorders>
              <w:top w:val="single" w:color="auto" w:sz="4" w:space="0"/>
              <w:left w:val="single" w:color="auto" w:sz="4" w:space="0"/>
              <w:bottom w:val="single" w:color="auto" w:sz="4" w:space="0"/>
              <w:right w:val="single" w:color="auto" w:sz="4" w:space="0"/>
            </w:tcBorders>
          </w:tcPr>
          <w:p w14:paraId="1DE5B3BC">
            <w:pPr>
              <w:pStyle w:val="80"/>
            </w:pPr>
            <w:r>
              <w:t>Раздел 4 «Описание операций»</w:t>
            </w:r>
          </w:p>
        </w:tc>
        <w:tc>
          <w:tcPr>
            <w:tcW w:w="1741" w:type="pct"/>
            <w:tcBorders>
              <w:top w:val="single" w:color="auto" w:sz="4" w:space="0"/>
              <w:left w:val="single" w:color="auto" w:sz="4" w:space="0"/>
              <w:bottom w:val="single" w:color="auto" w:sz="4" w:space="0"/>
              <w:right w:val="single" w:color="auto" w:sz="4" w:space="0"/>
            </w:tcBorders>
          </w:tcPr>
          <w:p w14:paraId="102CF589">
            <w:pPr>
              <w:pStyle w:val="80"/>
            </w:pPr>
            <w:r>
              <w:t>Добавлен подраздел 4.11 «Просмотр сведений организационно-штатной структуры МО по данным ФРМО и ФРМР»</w:t>
            </w:r>
          </w:p>
        </w:tc>
        <w:tc>
          <w:tcPr>
            <w:tcW w:w="986" w:type="pct"/>
            <w:tcBorders>
              <w:top w:val="single" w:color="auto" w:sz="4" w:space="0"/>
              <w:left w:val="single" w:color="auto" w:sz="4" w:space="0"/>
              <w:bottom w:val="single" w:color="auto" w:sz="4" w:space="0"/>
              <w:right w:val="single" w:color="auto" w:sz="4" w:space="0"/>
            </w:tcBorders>
          </w:tcPr>
          <w:p w14:paraId="27D45220">
            <w:pPr>
              <w:pStyle w:val="80"/>
            </w:pPr>
            <w:r>
              <w:t>Сенотов С.Н.</w:t>
            </w:r>
          </w:p>
        </w:tc>
      </w:tr>
      <w:tr w14:paraId="7151CD1E">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4244256A">
            <w:pPr>
              <w:pStyle w:val="83"/>
            </w:pPr>
            <w:r>
              <w:t>6</w:t>
            </w:r>
          </w:p>
        </w:tc>
        <w:tc>
          <w:tcPr>
            <w:tcW w:w="750" w:type="pct"/>
            <w:tcBorders>
              <w:top w:val="single" w:color="auto" w:sz="4" w:space="0"/>
              <w:left w:val="single" w:color="auto" w:sz="4" w:space="0"/>
              <w:bottom w:val="single" w:color="auto" w:sz="4" w:space="0"/>
              <w:right w:val="single" w:color="auto" w:sz="4" w:space="0"/>
            </w:tcBorders>
          </w:tcPr>
          <w:p w14:paraId="4B5C1C0A">
            <w:pPr>
              <w:pStyle w:val="80"/>
              <w:rPr>
                <w:szCs w:val="22"/>
              </w:rPr>
            </w:pPr>
            <w:r>
              <w:rPr>
                <w:szCs w:val="22"/>
                <w:lang w:val="en-US"/>
              </w:rPr>
              <w:t>15.11.2024</w:t>
            </w:r>
          </w:p>
        </w:tc>
        <w:tc>
          <w:tcPr>
            <w:tcW w:w="1221" w:type="pct"/>
            <w:tcBorders>
              <w:top w:val="single" w:color="auto" w:sz="4" w:space="0"/>
              <w:left w:val="single" w:color="auto" w:sz="4" w:space="0"/>
              <w:bottom w:val="single" w:color="auto" w:sz="4" w:space="0"/>
              <w:right w:val="single" w:color="auto" w:sz="4" w:space="0"/>
            </w:tcBorders>
          </w:tcPr>
          <w:p w14:paraId="27AC7EE1">
            <w:pPr>
              <w:pStyle w:val="80"/>
              <w:rPr>
                <w:bCs/>
                <w:iCs/>
              </w:rPr>
            </w:pPr>
            <w:r>
              <w:t>Приложение Б</w:t>
            </w:r>
          </w:p>
        </w:tc>
        <w:tc>
          <w:tcPr>
            <w:tcW w:w="1741" w:type="pct"/>
            <w:tcBorders>
              <w:top w:val="single" w:color="auto" w:sz="4" w:space="0"/>
              <w:left w:val="single" w:color="auto" w:sz="4" w:space="0"/>
              <w:bottom w:val="single" w:color="auto" w:sz="4" w:space="0"/>
              <w:right w:val="single" w:color="auto" w:sz="4" w:space="0"/>
            </w:tcBorders>
          </w:tcPr>
          <w:p w14:paraId="1F8C5003">
            <w:pPr>
              <w:pStyle w:val="80"/>
              <w:rPr>
                <w:szCs w:val="22"/>
              </w:rPr>
            </w:pPr>
            <w:r>
              <w:t xml:space="preserve">Добавлено Приложение Б. Просмотр файлов формата </w:t>
            </w:r>
            <w:r>
              <w:rPr>
                <w:lang w:val="en-US"/>
              </w:rPr>
              <w:t>XML</w:t>
            </w:r>
            <w:r>
              <w:t xml:space="preserve"> и CSV</w:t>
            </w:r>
          </w:p>
        </w:tc>
        <w:tc>
          <w:tcPr>
            <w:tcW w:w="986" w:type="pct"/>
            <w:tcBorders>
              <w:top w:val="single" w:color="auto" w:sz="4" w:space="0"/>
              <w:left w:val="single" w:color="auto" w:sz="4" w:space="0"/>
              <w:bottom w:val="single" w:color="auto" w:sz="4" w:space="0"/>
              <w:right w:val="single" w:color="auto" w:sz="4" w:space="0"/>
            </w:tcBorders>
          </w:tcPr>
          <w:p w14:paraId="64E6477F">
            <w:pPr>
              <w:pStyle w:val="80"/>
            </w:pPr>
            <w:r>
              <w:t>Сенотов С.Н.</w:t>
            </w:r>
          </w:p>
        </w:tc>
      </w:tr>
      <w:tr w14:paraId="5E1163E9">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40" w:hRule="atLeast"/>
        </w:trPr>
        <w:tc>
          <w:tcPr>
            <w:tcW w:w="5000" w:type="pct"/>
            <w:gridSpan w:val="5"/>
            <w:tcBorders>
              <w:top w:val="single" w:color="auto" w:sz="4" w:space="0"/>
              <w:left w:val="single" w:color="auto" w:sz="4" w:space="0"/>
              <w:bottom w:val="single" w:color="auto" w:sz="4" w:space="0"/>
              <w:right w:val="single" w:color="auto" w:sz="4" w:space="0"/>
            </w:tcBorders>
            <w:vAlign w:val="center"/>
          </w:tcPr>
          <w:p w14:paraId="0CE8E7CD">
            <w:pPr>
              <w:pStyle w:val="80"/>
            </w:pPr>
            <w:r>
              <w:t>Версия 3.00</w:t>
            </w:r>
          </w:p>
        </w:tc>
      </w:tr>
      <w:tr w14:paraId="77A0E64A">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6A36ED02">
            <w:pPr>
              <w:pStyle w:val="83"/>
            </w:pPr>
            <w:r>
              <w:t>7</w:t>
            </w:r>
          </w:p>
        </w:tc>
        <w:tc>
          <w:tcPr>
            <w:tcW w:w="750" w:type="pct"/>
            <w:tcBorders>
              <w:top w:val="single" w:color="auto" w:sz="4" w:space="0"/>
              <w:left w:val="single" w:color="auto" w:sz="4" w:space="0"/>
              <w:bottom w:val="single" w:color="auto" w:sz="4" w:space="0"/>
              <w:right w:val="single" w:color="auto" w:sz="4" w:space="0"/>
            </w:tcBorders>
          </w:tcPr>
          <w:p w14:paraId="582F6255">
            <w:pPr>
              <w:pStyle w:val="80"/>
              <w:rPr>
                <w:szCs w:val="22"/>
              </w:rPr>
            </w:pPr>
            <w:r>
              <w:rPr>
                <w:szCs w:val="22"/>
              </w:rPr>
              <w:t>07.04.2025</w:t>
            </w:r>
          </w:p>
        </w:tc>
        <w:tc>
          <w:tcPr>
            <w:tcW w:w="1221" w:type="pct"/>
            <w:tcBorders>
              <w:top w:val="single" w:color="auto" w:sz="4" w:space="0"/>
              <w:left w:val="single" w:color="auto" w:sz="4" w:space="0"/>
              <w:bottom w:val="single" w:color="auto" w:sz="4" w:space="0"/>
              <w:right w:val="single" w:color="auto" w:sz="4" w:space="0"/>
            </w:tcBorders>
          </w:tcPr>
          <w:p w14:paraId="2CDC3358">
            <w:pPr>
              <w:pStyle w:val="80"/>
            </w:pPr>
            <w:r>
              <w:t>Таблица 1 «Перечень выполняемых операций и задач», п.4.1</w:t>
            </w:r>
          </w:p>
        </w:tc>
        <w:tc>
          <w:tcPr>
            <w:tcW w:w="1741" w:type="pct"/>
            <w:tcBorders>
              <w:top w:val="single" w:color="auto" w:sz="4" w:space="0"/>
              <w:left w:val="single" w:color="auto" w:sz="4" w:space="0"/>
              <w:bottom w:val="single" w:color="auto" w:sz="4" w:space="0"/>
              <w:right w:val="single" w:color="auto" w:sz="4" w:space="0"/>
            </w:tcBorders>
          </w:tcPr>
          <w:p w14:paraId="6BD537F6">
            <w:pPr>
              <w:pStyle w:val="80"/>
            </w:pPr>
            <w:r>
              <w:t>Добавлены роли:</w:t>
            </w:r>
          </w:p>
          <w:p w14:paraId="1B32DF4E">
            <w:pPr>
              <w:pStyle w:val="104"/>
            </w:pPr>
            <w:r>
              <w:t>Администратор счетов субъекта;</w:t>
            </w:r>
          </w:p>
          <w:p w14:paraId="09AD7F51">
            <w:pPr>
              <w:pStyle w:val="104"/>
            </w:pPr>
            <w:r>
              <w:t>Куратор по СМО для ТФОМС;</w:t>
            </w:r>
          </w:p>
          <w:p w14:paraId="16AA6FFE">
            <w:pPr>
              <w:pStyle w:val="108"/>
              <w:numPr>
                <w:ilvl w:val="0"/>
                <w:numId w:val="15"/>
              </w:numPr>
              <w:ind w:left="170" w:hanging="57"/>
            </w:pPr>
            <w:r>
              <w:t>Куратор по МО для ТФОМС</w:t>
            </w:r>
          </w:p>
        </w:tc>
        <w:tc>
          <w:tcPr>
            <w:tcW w:w="986" w:type="pct"/>
            <w:tcBorders>
              <w:top w:val="single" w:color="auto" w:sz="4" w:space="0"/>
              <w:left w:val="single" w:color="auto" w:sz="4" w:space="0"/>
              <w:bottom w:val="single" w:color="auto" w:sz="4" w:space="0"/>
              <w:right w:val="single" w:color="auto" w:sz="4" w:space="0"/>
            </w:tcBorders>
          </w:tcPr>
          <w:p w14:paraId="23971F85">
            <w:pPr>
              <w:pStyle w:val="80"/>
            </w:pPr>
            <w:r>
              <w:t>Сенотов С.Н.</w:t>
            </w:r>
          </w:p>
        </w:tc>
      </w:tr>
      <w:tr w14:paraId="6412522C">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72AF8ED4">
            <w:pPr>
              <w:pStyle w:val="83"/>
            </w:pPr>
            <w:r>
              <w:t>8</w:t>
            </w:r>
          </w:p>
        </w:tc>
        <w:tc>
          <w:tcPr>
            <w:tcW w:w="750" w:type="pct"/>
            <w:tcBorders>
              <w:top w:val="single" w:color="auto" w:sz="4" w:space="0"/>
              <w:left w:val="single" w:color="auto" w:sz="4" w:space="0"/>
              <w:bottom w:val="single" w:color="auto" w:sz="4" w:space="0"/>
              <w:right w:val="single" w:color="auto" w:sz="4" w:space="0"/>
            </w:tcBorders>
          </w:tcPr>
          <w:p w14:paraId="54075539">
            <w:pPr>
              <w:pStyle w:val="80"/>
              <w:rPr>
                <w:szCs w:val="22"/>
              </w:rPr>
            </w:pPr>
            <w:r>
              <w:rPr>
                <w:szCs w:val="22"/>
              </w:rPr>
              <w:t>07.04.2025</w:t>
            </w:r>
          </w:p>
        </w:tc>
        <w:tc>
          <w:tcPr>
            <w:tcW w:w="1221" w:type="pct"/>
            <w:tcBorders>
              <w:top w:val="single" w:color="auto" w:sz="4" w:space="0"/>
              <w:left w:val="single" w:color="auto" w:sz="4" w:space="0"/>
              <w:bottom w:val="single" w:color="auto" w:sz="4" w:space="0"/>
              <w:right w:val="single" w:color="auto" w:sz="4" w:space="0"/>
            </w:tcBorders>
          </w:tcPr>
          <w:p w14:paraId="385D4F70">
            <w:pPr>
              <w:pStyle w:val="80"/>
            </w:pPr>
            <w:r>
              <w:t>Таблица 1 «Перечень выполняемых операций и задач», п.4.1</w:t>
            </w:r>
          </w:p>
        </w:tc>
        <w:tc>
          <w:tcPr>
            <w:tcW w:w="1741" w:type="pct"/>
            <w:tcBorders>
              <w:top w:val="single" w:color="auto" w:sz="4" w:space="0"/>
              <w:left w:val="single" w:color="auto" w:sz="4" w:space="0"/>
              <w:bottom w:val="single" w:color="auto" w:sz="4" w:space="0"/>
              <w:right w:val="single" w:color="auto" w:sz="4" w:space="0"/>
            </w:tcBorders>
          </w:tcPr>
          <w:p w14:paraId="6EBD4C75">
            <w:pPr>
              <w:pStyle w:val="80"/>
            </w:pPr>
            <w:r>
              <w:t>Добавлена задача «Формирование отчетов»</w:t>
            </w:r>
          </w:p>
        </w:tc>
        <w:tc>
          <w:tcPr>
            <w:tcW w:w="986" w:type="pct"/>
            <w:tcBorders>
              <w:top w:val="single" w:color="auto" w:sz="4" w:space="0"/>
              <w:left w:val="single" w:color="auto" w:sz="4" w:space="0"/>
              <w:bottom w:val="single" w:color="auto" w:sz="4" w:space="0"/>
              <w:right w:val="single" w:color="auto" w:sz="4" w:space="0"/>
            </w:tcBorders>
          </w:tcPr>
          <w:p w14:paraId="6F2B1D5C">
            <w:pPr>
              <w:pStyle w:val="80"/>
            </w:pPr>
            <w:r>
              <w:t>Сенотов С.Н.</w:t>
            </w:r>
          </w:p>
        </w:tc>
      </w:tr>
      <w:tr w14:paraId="27C8DBDA">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2DE756A6">
            <w:pPr>
              <w:pStyle w:val="83"/>
            </w:pPr>
            <w:r>
              <w:t>9</w:t>
            </w:r>
          </w:p>
        </w:tc>
        <w:tc>
          <w:tcPr>
            <w:tcW w:w="750" w:type="pct"/>
            <w:tcBorders>
              <w:top w:val="single" w:color="auto" w:sz="4" w:space="0"/>
              <w:left w:val="single" w:color="auto" w:sz="4" w:space="0"/>
              <w:bottom w:val="single" w:color="auto" w:sz="4" w:space="0"/>
              <w:right w:val="single" w:color="auto" w:sz="4" w:space="0"/>
            </w:tcBorders>
          </w:tcPr>
          <w:p w14:paraId="1EF3F107">
            <w:pPr>
              <w:pStyle w:val="80"/>
              <w:rPr>
                <w:szCs w:val="22"/>
              </w:rPr>
            </w:pPr>
            <w:r>
              <w:rPr>
                <w:szCs w:val="22"/>
              </w:rPr>
              <w:t>07.04.2025</w:t>
            </w:r>
          </w:p>
        </w:tc>
        <w:tc>
          <w:tcPr>
            <w:tcW w:w="1221" w:type="pct"/>
            <w:tcBorders>
              <w:top w:val="single" w:color="auto" w:sz="4" w:space="0"/>
              <w:left w:val="single" w:color="auto" w:sz="4" w:space="0"/>
              <w:bottom w:val="single" w:color="auto" w:sz="4" w:space="0"/>
              <w:right w:val="single" w:color="auto" w:sz="4" w:space="0"/>
            </w:tcBorders>
          </w:tcPr>
          <w:p w14:paraId="0F726167">
            <w:pPr>
              <w:pStyle w:val="80"/>
            </w:pPr>
            <w:r>
              <w:t>Раздел 4 «Описание операций»</w:t>
            </w:r>
          </w:p>
        </w:tc>
        <w:tc>
          <w:tcPr>
            <w:tcW w:w="1741" w:type="pct"/>
            <w:tcBorders>
              <w:top w:val="single" w:color="auto" w:sz="4" w:space="0"/>
              <w:left w:val="single" w:color="auto" w:sz="4" w:space="0"/>
              <w:bottom w:val="single" w:color="auto" w:sz="4" w:space="0"/>
              <w:right w:val="single" w:color="auto" w:sz="4" w:space="0"/>
            </w:tcBorders>
          </w:tcPr>
          <w:p w14:paraId="320F6750">
            <w:pPr>
              <w:pStyle w:val="80"/>
            </w:pPr>
            <w:r>
              <w:t>Добавлен подраздел 4.12 «Формирование отчетов»</w:t>
            </w:r>
          </w:p>
        </w:tc>
        <w:tc>
          <w:tcPr>
            <w:tcW w:w="986" w:type="pct"/>
            <w:tcBorders>
              <w:top w:val="single" w:color="auto" w:sz="4" w:space="0"/>
              <w:left w:val="single" w:color="auto" w:sz="4" w:space="0"/>
              <w:bottom w:val="single" w:color="auto" w:sz="4" w:space="0"/>
              <w:right w:val="single" w:color="auto" w:sz="4" w:space="0"/>
            </w:tcBorders>
          </w:tcPr>
          <w:p w14:paraId="13FB3910">
            <w:pPr>
              <w:pStyle w:val="80"/>
            </w:pPr>
            <w:r>
              <w:t>Сенотов С.Н.</w:t>
            </w:r>
          </w:p>
        </w:tc>
      </w:tr>
      <w:tr w14:paraId="60292981">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5FA70725">
            <w:pPr>
              <w:pStyle w:val="83"/>
            </w:pPr>
            <w:r>
              <w:t>10</w:t>
            </w:r>
          </w:p>
        </w:tc>
        <w:tc>
          <w:tcPr>
            <w:tcW w:w="750" w:type="pct"/>
            <w:tcBorders>
              <w:top w:val="single" w:color="auto" w:sz="4" w:space="0"/>
              <w:left w:val="single" w:color="auto" w:sz="4" w:space="0"/>
              <w:bottom w:val="single" w:color="auto" w:sz="4" w:space="0"/>
              <w:right w:val="single" w:color="auto" w:sz="4" w:space="0"/>
            </w:tcBorders>
          </w:tcPr>
          <w:p w14:paraId="25CA0530">
            <w:pPr>
              <w:pStyle w:val="80"/>
              <w:rPr>
                <w:szCs w:val="22"/>
              </w:rPr>
            </w:pPr>
            <w:r>
              <w:rPr>
                <w:szCs w:val="22"/>
              </w:rPr>
              <w:t>20.04.2025</w:t>
            </w:r>
          </w:p>
        </w:tc>
        <w:tc>
          <w:tcPr>
            <w:tcW w:w="1221" w:type="pct"/>
            <w:tcBorders>
              <w:top w:val="single" w:color="auto" w:sz="4" w:space="0"/>
              <w:left w:val="single" w:color="auto" w:sz="4" w:space="0"/>
              <w:bottom w:val="single" w:color="auto" w:sz="4" w:space="0"/>
              <w:right w:val="single" w:color="auto" w:sz="4" w:space="0"/>
            </w:tcBorders>
          </w:tcPr>
          <w:p w14:paraId="5235C7BF">
            <w:pPr>
              <w:pStyle w:val="80"/>
            </w:pPr>
            <w:r>
              <w:t>Раздел 4 «Описание операций»</w:t>
            </w:r>
          </w:p>
        </w:tc>
        <w:tc>
          <w:tcPr>
            <w:tcW w:w="1741" w:type="pct"/>
            <w:tcBorders>
              <w:top w:val="single" w:color="auto" w:sz="4" w:space="0"/>
              <w:left w:val="single" w:color="auto" w:sz="4" w:space="0"/>
              <w:bottom w:val="single" w:color="auto" w:sz="4" w:space="0"/>
              <w:right w:val="single" w:color="auto" w:sz="4" w:space="0"/>
            </w:tcBorders>
          </w:tcPr>
          <w:p w14:paraId="743CC4E6">
            <w:pPr>
              <w:pStyle w:val="80"/>
            </w:pPr>
            <w:r>
              <w:t>Уточнено описание выполнения операций</w:t>
            </w:r>
          </w:p>
        </w:tc>
        <w:tc>
          <w:tcPr>
            <w:tcW w:w="986" w:type="pct"/>
            <w:tcBorders>
              <w:top w:val="single" w:color="auto" w:sz="4" w:space="0"/>
              <w:left w:val="single" w:color="auto" w:sz="4" w:space="0"/>
              <w:bottom w:val="single" w:color="auto" w:sz="4" w:space="0"/>
              <w:right w:val="single" w:color="auto" w:sz="4" w:space="0"/>
            </w:tcBorders>
          </w:tcPr>
          <w:p w14:paraId="5A5A9594">
            <w:pPr>
              <w:pStyle w:val="80"/>
            </w:pPr>
            <w:r>
              <w:t>Сенотов С.Н.</w:t>
            </w:r>
          </w:p>
        </w:tc>
      </w:tr>
      <w:tr w14:paraId="6255F13C">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262A126E">
            <w:pPr>
              <w:pStyle w:val="83"/>
            </w:pPr>
            <w:r>
              <w:t>11</w:t>
            </w:r>
          </w:p>
        </w:tc>
        <w:tc>
          <w:tcPr>
            <w:tcW w:w="750" w:type="pct"/>
            <w:tcBorders>
              <w:top w:val="single" w:color="auto" w:sz="4" w:space="0"/>
              <w:left w:val="single" w:color="auto" w:sz="4" w:space="0"/>
              <w:bottom w:val="single" w:color="auto" w:sz="4" w:space="0"/>
              <w:right w:val="single" w:color="auto" w:sz="4" w:space="0"/>
            </w:tcBorders>
          </w:tcPr>
          <w:p w14:paraId="3711D443">
            <w:pPr>
              <w:pStyle w:val="80"/>
              <w:rPr>
                <w:szCs w:val="22"/>
              </w:rPr>
            </w:pPr>
            <w:r>
              <w:rPr>
                <w:szCs w:val="22"/>
              </w:rPr>
              <w:t>01.07.2025</w:t>
            </w:r>
          </w:p>
        </w:tc>
        <w:tc>
          <w:tcPr>
            <w:tcW w:w="1221" w:type="pct"/>
            <w:tcBorders>
              <w:top w:val="single" w:color="auto" w:sz="4" w:space="0"/>
              <w:left w:val="single" w:color="auto" w:sz="4" w:space="0"/>
              <w:bottom w:val="single" w:color="auto" w:sz="4" w:space="0"/>
              <w:right w:val="single" w:color="auto" w:sz="4" w:space="0"/>
            </w:tcBorders>
          </w:tcPr>
          <w:p w14:paraId="4208E110">
            <w:pPr>
              <w:pStyle w:val="80"/>
            </w:pPr>
            <w:r>
              <w:t>Раздел 4 «Описание операций»</w:t>
            </w:r>
          </w:p>
        </w:tc>
        <w:tc>
          <w:tcPr>
            <w:tcW w:w="1741" w:type="pct"/>
            <w:tcBorders>
              <w:top w:val="single" w:color="auto" w:sz="4" w:space="0"/>
              <w:left w:val="single" w:color="auto" w:sz="4" w:space="0"/>
              <w:bottom w:val="single" w:color="auto" w:sz="4" w:space="0"/>
              <w:right w:val="single" w:color="auto" w:sz="4" w:space="0"/>
            </w:tcBorders>
          </w:tcPr>
          <w:p w14:paraId="69AEEAAB">
            <w:pPr>
              <w:pStyle w:val="80"/>
            </w:pPr>
            <w:r>
              <w:t>Описание подразделов актуализировано по результатам опытной эксплуатации</w:t>
            </w:r>
          </w:p>
        </w:tc>
        <w:tc>
          <w:tcPr>
            <w:tcW w:w="986" w:type="pct"/>
            <w:tcBorders>
              <w:top w:val="single" w:color="auto" w:sz="4" w:space="0"/>
              <w:left w:val="single" w:color="auto" w:sz="4" w:space="0"/>
              <w:bottom w:val="single" w:color="auto" w:sz="4" w:space="0"/>
              <w:right w:val="single" w:color="auto" w:sz="4" w:space="0"/>
            </w:tcBorders>
          </w:tcPr>
          <w:p w14:paraId="766D8360">
            <w:pPr>
              <w:pStyle w:val="80"/>
            </w:pPr>
            <w:r>
              <w:t>Сенотов С.Н.</w:t>
            </w:r>
          </w:p>
        </w:tc>
      </w:tr>
      <w:tr w14:paraId="426D775B">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1A16F559">
            <w:pPr>
              <w:pStyle w:val="83"/>
            </w:pPr>
            <w:r>
              <w:t>12</w:t>
            </w:r>
          </w:p>
        </w:tc>
        <w:tc>
          <w:tcPr>
            <w:tcW w:w="750" w:type="pct"/>
            <w:tcBorders>
              <w:top w:val="single" w:color="auto" w:sz="4" w:space="0"/>
              <w:left w:val="single" w:color="auto" w:sz="4" w:space="0"/>
              <w:bottom w:val="single" w:color="auto" w:sz="4" w:space="0"/>
              <w:right w:val="single" w:color="auto" w:sz="4" w:space="0"/>
            </w:tcBorders>
          </w:tcPr>
          <w:p w14:paraId="7DCF0F3A">
            <w:pPr>
              <w:pStyle w:val="80"/>
              <w:rPr>
                <w:szCs w:val="22"/>
              </w:rPr>
            </w:pPr>
            <w:r>
              <w:rPr>
                <w:szCs w:val="22"/>
              </w:rPr>
              <w:t>02.07.2025</w:t>
            </w:r>
          </w:p>
        </w:tc>
        <w:tc>
          <w:tcPr>
            <w:tcW w:w="1221" w:type="pct"/>
            <w:tcBorders>
              <w:top w:val="single" w:color="auto" w:sz="4" w:space="0"/>
              <w:left w:val="single" w:color="auto" w:sz="4" w:space="0"/>
              <w:bottom w:val="single" w:color="auto" w:sz="4" w:space="0"/>
              <w:right w:val="single" w:color="auto" w:sz="4" w:space="0"/>
            </w:tcBorders>
          </w:tcPr>
          <w:p w14:paraId="0B88113F">
            <w:pPr>
              <w:pStyle w:val="80"/>
            </w:pPr>
            <w:r>
              <w:t>Раздел 3 «Подготовка к работе»</w:t>
            </w:r>
          </w:p>
        </w:tc>
        <w:tc>
          <w:tcPr>
            <w:tcW w:w="1741" w:type="pct"/>
            <w:tcBorders>
              <w:top w:val="single" w:color="auto" w:sz="4" w:space="0"/>
              <w:left w:val="single" w:color="auto" w:sz="4" w:space="0"/>
              <w:bottom w:val="single" w:color="auto" w:sz="4" w:space="0"/>
              <w:right w:val="single" w:color="auto" w:sz="4" w:space="0"/>
            </w:tcBorders>
          </w:tcPr>
          <w:p w14:paraId="7E0A4406">
            <w:pPr>
              <w:pStyle w:val="80"/>
            </w:pPr>
            <w:r>
              <w:t>Описание подразделов актуализировано по результатам опытной эксплуатации</w:t>
            </w:r>
          </w:p>
        </w:tc>
        <w:tc>
          <w:tcPr>
            <w:tcW w:w="986" w:type="pct"/>
            <w:tcBorders>
              <w:top w:val="single" w:color="auto" w:sz="4" w:space="0"/>
              <w:left w:val="single" w:color="auto" w:sz="4" w:space="0"/>
              <w:bottom w:val="single" w:color="auto" w:sz="4" w:space="0"/>
              <w:right w:val="single" w:color="auto" w:sz="4" w:space="0"/>
            </w:tcBorders>
          </w:tcPr>
          <w:p w14:paraId="6AE0857A">
            <w:pPr>
              <w:pStyle w:val="80"/>
            </w:pPr>
            <w:r>
              <w:t>Сенотов С.Н.</w:t>
            </w:r>
          </w:p>
        </w:tc>
      </w:tr>
      <w:tr w14:paraId="231E5AED">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5000" w:type="pct"/>
            <w:gridSpan w:val="5"/>
            <w:tcBorders>
              <w:top w:val="single" w:color="auto" w:sz="4" w:space="0"/>
              <w:left w:val="single" w:color="auto" w:sz="4" w:space="0"/>
              <w:bottom w:val="single" w:color="auto" w:sz="4" w:space="0"/>
              <w:right w:val="single" w:color="auto" w:sz="4" w:space="0"/>
            </w:tcBorders>
            <w:vAlign w:val="center"/>
          </w:tcPr>
          <w:p w14:paraId="0220104F">
            <w:pPr>
              <w:pStyle w:val="80"/>
            </w:pPr>
            <w:r>
              <w:t>Версия 4.00</w:t>
            </w:r>
          </w:p>
        </w:tc>
      </w:tr>
      <w:tr w14:paraId="3AAC1415">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2044BA30">
            <w:pPr>
              <w:pStyle w:val="83"/>
            </w:pPr>
            <w:r>
              <w:t>13</w:t>
            </w:r>
          </w:p>
        </w:tc>
        <w:tc>
          <w:tcPr>
            <w:tcW w:w="750" w:type="pct"/>
            <w:tcBorders>
              <w:top w:val="single" w:color="auto" w:sz="4" w:space="0"/>
              <w:left w:val="single" w:color="auto" w:sz="4" w:space="0"/>
              <w:bottom w:val="single" w:color="auto" w:sz="4" w:space="0"/>
              <w:right w:val="single" w:color="auto" w:sz="4" w:space="0"/>
            </w:tcBorders>
          </w:tcPr>
          <w:p w14:paraId="07A77A70">
            <w:pPr>
              <w:pStyle w:val="80"/>
            </w:pPr>
            <w:r>
              <w:t>20.11.2025</w:t>
            </w:r>
          </w:p>
        </w:tc>
        <w:tc>
          <w:tcPr>
            <w:tcW w:w="1221" w:type="pct"/>
            <w:tcBorders>
              <w:top w:val="single" w:color="auto" w:sz="4" w:space="0"/>
              <w:left w:val="single" w:color="auto" w:sz="4" w:space="0"/>
              <w:bottom w:val="single" w:color="auto" w:sz="4" w:space="0"/>
              <w:right w:val="single" w:color="auto" w:sz="4" w:space="0"/>
            </w:tcBorders>
          </w:tcPr>
          <w:p w14:paraId="3F10DA9A">
            <w:pPr>
              <w:pStyle w:val="80"/>
            </w:pPr>
            <w:r>
              <w:t>Раздел 1 «Введение»</w:t>
            </w:r>
          </w:p>
        </w:tc>
        <w:tc>
          <w:tcPr>
            <w:tcW w:w="1741" w:type="pct"/>
            <w:tcBorders>
              <w:top w:val="single" w:color="auto" w:sz="4" w:space="0"/>
              <w:left w:val="single" w:color="auto" w:sz="4" w:space="0"/>
              <w:bottom w:val="single" w:color="auto" w:sz="4" w:space="0"/>
              <w:right w:val="single" w:color="auto" w:sz="4" w:space="0"/>
            </w:tcBorders>
          </w:tcPr>
          <w:p w14:paraId="049F1D77">
            <w:pPr>
              <w:pStyle w:val="80"/>
            </w:pPr>
            <w:r>
              <w:t>Подраздел 1.2 «Нормативно-правовые акты» исключен</w:t>
            </w:r>
          </w:p>
        </w:tc>
        <w:tc>
          <w:tcPr>
            <w:tcW w:w="986" w:type="pct"/>
            <w:tcBorders>
              <w:top w:val="single" w:color="auto" w:sz="4" w:space="0"/>
              <w:left w:val="single" w:color="auto" w:sz="4" w:space="0"/>
              <w:bottom w:val="single" w:color="auto" w:sz="4" w:space="0"/>
              <w:right w:val="single" w:color="auto" w:sz="4" w:space="0"/>
            </w:tcBorders>
          </w:tcPr>
          <w:p w14:paraId="673A17B3">
            <w:pPr>
              <w:pStyle w:val="80"/>
            </w:pPr>
            <w:r>
              <w:t>Сенотов С.Н.</w:t>
            </w:r>
          </w:p>
        </w:tc>
      </w:tr>
      <w:tr w14:paraId="74FB6500">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00BF1519">
            <w:pPr>
              <w:pStyle w:val="83"/>
            </w:pPr>
            <w:r>
              <w:t>14</w:t>
            </w:r>
          </w:p>
        </w:tc>
        <w:tc>
          <w:tcPr>
            <w:tcW w:w="750" w:type="pct"/>
            <w:tcBorders>
              <w:top w:val="single" w:color="auto" w:sz="4" w:space="0"/>
              <w:left w:val="single" w:color="auto" w:sz="4" w:space="0"/>
              <w:bottom w:val="single" w:color="auto" w:sz="4" w:space="0"/>
              <w:right w:val="single" w:color="auto" w:sz="4" w:space="0"/>
            </w:tcBorders>
          </w:tcPr>
          <w:p w14:paraId="3D9901F3">
            <w:pPr>
              <w:pStyle w:val="80"/>
              <w:rPr>
                <w:szCs w:val="22"/>
              </w:rPr>
            </w:pPr>
            <w:r>
              <w:t>20.11.2025</w:t>
            </w:r>
          </w:p>
        </w:tc>
        <w:tc>
          <w:tcPr>
            <w:tcW w:w="1221" w:type="pct"/>
            <w:tcBorders>
              <w:top w:val="single" w:color="auto" w:sz="4" w:space="0"/>
              <w:left w:val="single" w:color="auto" w:sz="4" w:space="0"/>
              <w:bottom w:val="single" w:color="auto" w:sz="4" w:space="0"/>
              <w:right w:val="single" w:color="auto" w:sz="4" w:space="0"/>
            </w:tcBorders>
          </w:tcPr>
          <w:p w14:paraId="31ECA504">
            <w:pPr>
              <w:pStyle w:val="80"/>
            </w:pPr>
            <w:r>
              <w:t>Раздел 4 «Описание операций»</w:t>
            </w:r>
          </w:p>
        </w:tc>
        <w:tc>
          <w:tcPr>
            <w:tcW w:w="1741" w:type="pct"/>
            <w:tcBorders>
              <w:top w:val="single" w:color="auto" w:sz="4" w:space="0"/>
              <w:left w:val="single" w:color="auto" w:sz="4" w:space="0"/>
              <w:bottom w:val="single" w:color="auto" w:sz="4" w:space="0"/>
              <w:right w:val="single" w:color="auto" w:sz="4" w:space="0"/>
            </w:tcBorders>
          </w:tcPr>
          <w:p w14:paraId="5E83524F">
            <w:pPr>
              <w:pStyle w:val="80"/>
            </w:pPr>
            <w:r>
              <w:t>Рисунки раздела приведены в соответствие с настройкой интерфейса пользователя по запросам на изменение</w:t>
            </w:r>
          </w:p>
        </w:tc>
        <w:tc>
          <w:tcPr>
            <w:tcW w:w="986" w:type="pct"/>
            <w:tcBorders>
              <w:top w:val="single" w:color="auto" w:sz="4" w:space="0"/>
              <w:left w:val="single" w:color="auto" w:sz="4" w:space="0"/>
              <w:bottom w:val="single" w:color="auto" w:sz="4" w:space="0"/>
              <w:right w:val="single" w:color="auto" w:sz="4" w:space="0"/>
            </w:tcBorders>
          </w:tcPr>
          <w:p w14:paraId="6EF981F4">
            <w:pPr>
              <w:pStyle w:val="80"/>
            </w:pPr>
            <w:r>
              <w:t>Сенотов С.Н.</w:t>
            </w:r>
          </w:p>
        </w:tc>
      </w:tr>
      <w:tr w14:paraId="09B7646B">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40" w:hRule="atLeast"/>
        </w:trPr>
        <w:tc>
          <w:tcPr>
            <w:tcW w:w="5000" w:type="pct"/>
            <w:gridSpan w:val="5"/>
            <w:tcBorders>
              <w:top w:val="single" w:color="auto" w:sz="4" w:space="0"/>
              <w:left w:val="single" w:color="auto" w:sz="4" w:space="0"/>
              <w:bottom w:val="single" w:color="auto" w:sz="4" w:space="0"/>
              <w:right w:val="single" w:color="auto" w:sz="4" w:space="0"/>
            </w:tcBorders>
            <w:vAlign w:val="center"/>
          </w:tcPr>
          <w:p w14:paraId="35C60B97">
            <w:pPr>
              <w:pStyle w:val="80"/>
            </w:pPr>
            <w:r>
              <w:t>Версия 4.01</w:t>
            </w:r>
          </w:p>
        </w:tc>
      </w:tr>
      <w:tr w14:paraId="55996FF2">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81" w:hRule="atLeast"/>
        </w:trPr>
        <w:tc>
          <w:tcPr>
            <w:tcW w:w="302" w:type="pct"/>
            <w:tcBorders>
              <w:top w:val="single" w:color="auto" w:sz="4" w:space="0"/>
              <w:left w:val="single" w:color="auto" w:sz="4" w:space="0"/>
              <w:bottom w:val="single" w:color="auto" w:sz="4" w:space="0"/>
              <w:right w:val="single" w:color="auto" w:sz="4" w:space="0"/>
            </w:tcBorders>
          </w:tcPr>
          <w:p w14:paraId="00F17CC3">
            <w:pPr>
              <w:pStyle w:val="83"/>
            </w:pPr>
            <w:r>
              <w:t>14</w:t>
            </w:r>
          </w:p>
        </w:tc>
        <w:tc>
          <w:tcPr>
            <w:tcW w:w="750" w:type="pct"/>
            <w:tcBorders>
              <w:top w:val="single" w:color="auto" w:sz="4" w:space="0"/>
              <w:left w:val="single" w:color="auto" w:sz="4" w:space="0"/>
              <w:bottom w:val="single" w:color="auto" w:sz="4" w:space="0"/>
              <w:right w:val="single" w:color="auto" w:sz="4" w:space="0"/>
            </w:tcBorders>
          </w:tcPr>
          <w:p w14:paraId="4B4C06B4">
            <w:pPr>
              <w:pStyle w:val="80"/>
              <w:rPr>
                <w:szCs w:val="22"/>
              </w:rPr>
            </w:pPr>
            <w:r>
              <w:rPr>
                <w:szCs w:val="22"/>
              </w:rPr>
              <w:t>09.02.2026</w:t>
            </w:r>
          </w:p>
        </w:tc>
        <w:tc>
          <w:tcPr>
            <w:tcW w:w="1221" w:type="pct"/>
            <w:tcBorders>
              <w:top w:val="single" w:color="auto" w:sz="4" w:space="0"/>
              <w:left w:val="single" w:color="auto" w:sz="4" w:space="0"/>
              <w:bottom w:val="single" w:color="auto" w:sz="4" w:space="0"/>
              <w:right w:val="single" w:color="auto" w:sz="4" w:space="0"/>
            </w:tcBorders>
          </w:tcPr>
          <w:p w14:paraId="3EA9F445">
            <w:pPr>
              <w:pStyle w:val="80"/>
            </w:pPr>
            <w:r>
              <w:t>п.</w:t>
            </w:r>
            <w:r>
              <w:fldChar w:fldCharType="begin"/>
            </w:r>
            <w:r>
              <w:instrText xml:space="preserve"> REF _Ref133516119 \n \h </w:instrText>
            </w:r>
            <w:r>
              <w:fldChar w:fldCharType="separate"/>
            </w:r>
            <w:r>
              <w:t>3.3</w:t>
            </w:r>
            <w:r>
              <w:fldChar w:fldCharType="end"/>
            </w:r>
            <w:r>
              <w:rPr>
                <w:lang w:val="en-US"/>
              </w:rPr>
              <w:t xml:space="preserve"> </w:t>
            </w:r>
            <w:r>
              <w:t>«</w:t>
            </w:r>
            <w:r>
              <w:rPr>
                <w:lang w:val="en-US"/>
              </w:rPr>
              <w:fldChar w:fldCharType="begin"/>
            </w:r>
            <w:r>
              <w:rPr>
                <w:lang w:val="en-US"/>
              </w:rPr>
              <w:instrText xml:space="preserve"> REF _Ref133516119 \h </w:instrText>
            </w:r>
            <w:r>
              <w:rPr>
                <w:lang w:val="en-US"/>
              </w:rPr>
              <w:fldChar w:fldCharType="separate"/>
            </w:r>
            <w:r>
              <w:t>Порядок запуска подсистемы</w:t>
            </w:r>
            <w:r>
              <w:rPr>
                <w:lang w:val="en-US"/>
              </w:rPr>
              <w:fldChar w:fldCharType="end"/>
            </w:r>
            <w:r>
              <w:t>»</w:t>
            </w:r>
          </w:p>
        </w:tc>
        <w:tc>
          <w:tcPr>
            <w:tcW w:w="1741" w:type="pct"/>
            <w:tcBorders>
              <w:top w:val="single" w:color="auto" w:sz="4" w:space="0"/>
              <w:left w:val="single" w:color="auto" w:sz="4" w:space="0"/>
              <w:bottom w:val="single" w:color="auto" w:sz="4" w:space="0"/>
              <w:right w:val="single" w:color="auto" w:sz="4" w:space="0"/>
            </w:tcBorders>
          </w:tcPr>
          <w:p w14:paraId="190CC7F2">
            <w:pPr>
              <w:pStyle w:val="80"/>
            </w:pPr>
            <w:r>
              <w:t>Добавлены снимки экранных форм и уточнено описание выполнения операций</w:t>
            </w:r>
          </w:p>
        </w:tc>
        <w:tc>
          <w:tcPr>
            <w:tcW w:w="986" w:type="pct"/>
            <w:tcBorders>
              <w:top w:val="single" w:color="auto" w:sz="4" w:space="0"/>
              <w:left w:val="single" w:color="auto" w:sz="4" w:space="0"/>
              <w:bottom w:val="single" w:color="auto" w:sz="4" w:space="0"/>
              <w:right w:val="single" w:color="auto" w:sz="4" w:space="0"/>
            </w:tcBorders>
          </w:tcPr>
          <w:p w14:paraId="1A5F5054">
            <w:pPr>
              <w:pStyle w:val="80"/>
            </w:pPr>
            <w:r>
              <w:t>Сенотов С.Н.</w:t>
            </w:r>
          </w:p>
        </w:tc>
      </w:tr>
      <w:tr w14:paraId="38135EC3">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81" w:hRule="atLeast"/>
        </w:trPr>
        <w:tc>
          <w:tcPr>
            <w:tcW w:w="302" w:type="pct"/>
            <w:tcBorders>
              <w:top w:val="single" w:color="auto" w:sz="4" w:space="0"/>
              <w:left w:val="single" w:color="auto" w:sz="4" w:space="0"/>
              <w:bottom w:val="single" w:color="auto" w:sz="4" w:space="0"/>
              <w:right w:val="single" w:color="auto" w:sz="4" w:space="0"/>
            </w:tcBorders>
          </w:tcPr>
          <w:p w14:paraId="5B941810">
            <w:pPr>
              <w:pStyle w:val="83"/>
            </w:pPr>
            <w:r>
              <w:t>15</w:t>
            </w:r>
          </w:p>
        </w:tc>
        <w:tc>
          <w:tcPr>
            <w:tcW w:w="750" w:type="pct"/>
            <w:tcBorders>
              <w:top w:val="single" w:color="auto" w:sz="4" w:space="0"/>
              <w:left w:val="single" w:color="auto" w:sz="4" w:space="0"/>
              <w:bottom w:val="single" w:color="auto" w:sz="4" w:space="0"/>
              <w:right w:val="single" w:color="auto" w:sz="4" w:space="0"/>
            </w:tcBorders>
          </w:tcPr>
          <w:p w14:paraId="5B6C0AAF">
            <w:pPr>
              <w:pStyle w:val="80"/>
              <w:rPr>
                <w:szCs w:val="22"/>
              </w:rPr>
            </w:pPr>
            <w:r>
              <w:rPr>
                <w:szCs w:val="22"/>
              </w:rPr>
              <w:t>09.02.2026</w:t>
            </w:r>
          </w:p>
        </w:tc>
        <w:tc>
          <w:tcPr>
            <w:tcW w:w="1221" w:type="pct"/>
            <w:tcBorders>
              <w:top w:val="single" w:color="auto" w:sz="4" w:space="0"/>
              <w:left w:val="single" w:color="auto" w:sz="4" w:space="0"/>
              <w:bottom w:val="single" w:color="auto" w:sz="4" w:space="0"/>
              <w:right w:val="single" w:color="auto" w:sz="4" w:space="0"/>
            </w:tcBorders>
          </w:tcPr>
          <w:p w14:paraId="5AE2B27D">
            <w:pPr>
              <w:pStyle w:val="80"/>
            </w:pPr>
            <w:r>
              <w:t xml:space="preserve">Раздел </w:t>
            </w:r>
            <w:r>
              <w:fldChar w:fldCharType="begin"/>
            </w:r>
            <w:r>
              <w:instrText xml:space="preserve"> REF _Ref120264918 \n \h </w:instrText>
            </w:r>
            <w:r>
              <w:fldChar w:fldCharType="separate"/>
            </w:r>
            <w:r>
              <w:t>4</w:t>
            </w:r>
            <w:r>
              <w:fldChar w:fldCharType="end"/>
            </w:r>
            <w:r>
              <w:t xml:space="preserve"> «</w:t>
            </w:r>
            <w:r>
              <w:fldChar w:fldCharType="begin"/>
            </w:r>
            <w:r>
              <w:instrText xml:space="preserve"> REF _Ref120264918 \h </w:instrText>
            </w:r>
            <w:r>
              <w:fldChar w:fldCharType="separate"/>
            </w:r>
            <w:r>
              <w:t>Описание операций</w:t>
            </w:r>
            <w:r>
              <w:fldChar w:fldCharType="end"/>
            </w:r>
            <w:r>
              <w:t>»</w:t>
            </w:r>
          </w:p>
        </w:tc>
        <w:tc>
          <w:tcPr>
            <w:tcW w:w="1741" w:type="pct"/>
            <w:tcBorders>
              <w:top w:val="single" w:color="auto" w:sz="4" w:space="0"/>
              <w:left w:val="single" w:color="auto" w:sz="4" w:space="0"/>
              <w:bottom w:val="single" w:color="auto" w:sz="4" w:space="0"/>
              <w:right w:val="single" w:color="auto" w:sz="4" w:space="0"/>
            </w:tcBorders>
          </w:tcPr>
          <w:p w14:paraId="45E65A39">
            <w:pPr>
              <w:pStyle w:val="80"/>
            </w:pPr>
            <w:r>
              <w:t>Добавлен п.</w:t>
            </w:r>
            <w:r>
              <w:fldChar w:fldCharType="begin"/>
            </w:r>
            <w:r>
              <w:instrText xml:space="preserve"> REF _Ref223615508 \n \h </w:instrText>
            </w:r>
            <w:r>
              <w:fldChar w:fldCharType="separate"/>
            </w:r>
            <w:r>
              <w:t>4.2.12</w:t>
            </w:r>
            <w:r>
              <w:fldChar w:fldCharType="end"/>
            </w:r>
            <w:r>
              <w:t xml:space="preserve"> «</w:t>
            </w:r>
            <w:r>
              <w:fldChar w:fldCharType="begin"/>
            </w:r>
            <w:r>
              <w:instrText xml:space="preserve"> REF _Ref223615508 \h </w:instrText>
            </w:r>
            <w:r>
              <w:fldChar w:fldCharType="separate"/>
            </w:r>
            <w:r>
              <w:t>Возврат счета в МО</w:t>
            </w:r>
            <w:r>
              <w:fldChar w:fldCharType="end"/>
            </w:r>
            <w:r>
              <w:t>»</w:t>
            </w:r>
          </w:p>
        </w:tc>
        <w:tc>
          <w:tcPr>
            <w:tcW w:w="986" w:type="pct"/>
            <w:tcBorders>
              <w:top w:val="single" w:color="auto" w:sz="4" w:space="0"/>
              <w:left w:val="single" w:color="auto" w:sz="4" w:space="0"/>
              <w:bottom w:val="single" w:color="auto" w:sz="4" w:space="0"/>
              <w:right w:val="single" w:color="auto" w:sz="4" w:space="0"/>
            </w:tcBorders>
          </w:tcPr>
          <w:p w14:paraId="31201D5E">
            <w:pPr>
              <w:pStyle w:val="80"/>
            </w:pPr>
            <w:r>
              <w:t>Сенотов С.Н.</w:t>
            </w:r>
          </w:p>
        </w:tc>
      </w:tr>
      <w:tr w14:paraId="2919B2E5">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81" w:hRule="atLeast"/>
        </w:trPr>
        <w:tc>
          <w:tcPr>
            <w:tcW w:w="302" w:type="pct"/>
            <w:tcBorders>
              <w:top w:val="single" w:color="auto" w:sz="4" w:space="0"/>
              <w:left w:val="single" w:color="auto" w:sz="4" w:space="0"/>
              <w:bottom w:val="single" w:color="auto" w:sz="4" w:space="0"/>
              <w:right w:val="single" w:color="auto" w:sz="4" w:space="0"/>
            </w:tcBorders>
          </w:tcPr>
          <w:p w14:paraId="5A2740D8">
            <w:pPr>
              <w:pStyle w:val="83"/>
            </w:pPr>
            <w:r>
              <w:t>16</w:t>
            </w:r>
          </w:p>
        </w:tc>
        <w:tc>
          <w:tcPr>
            <w:tcW w:w="750" w:type="pct"/>
            <w:tcBorders>
              <w:top w:val="single" w:color="auto" w:sz="4" w:space="0"/>
              <w:left w:val="single" w:color="auto" w:sz="4" w:space="0"/>
              <w:bottom w:val="single" w:color="auto" w:sz="4" w:space="0"/>
              <w:right w:val="single" w:color="auto" w:sz="4" w:space="0"/>
            </w:tcBorders>
          </w:tcPr>
          <w:p w14:paraId="2EEF8ECA">
            <w:pPr>
              <w:pStyle w:val="80"/>
              <w:rPr>
                <w:szCs w:val="22"/>
              </w:rPr>
            </w:pPr>
            <w:r>
              <w:rPr>
                <w:szCs w:val="22"/>
              </w:rPr>
              <w:t>09.02.2026</w:t>
            </w:r>
          </w:p>
        </w:tc>
        <w:tc>
          <w:tcPr>
            <w:tcW w:w="1221" w:type="pct"/>
            <w:tcBorders>
              <w:top w:val="single" w:color="auto" w:sz="4" w:space="0"/>
              <w:left w:val="single" w:color="auto" w:sz="4" w:space="0"/>
              <w:bottom w:val="single" w:color="auto" w:sz="4" w:space="0"/>
              <w:right w:val="single" w:color="auto" w:sz="4" w:space="0"/>
            </w:tcBorders>
          </w:tcPr>
          <w:p w14:paraId="37459993">
            <w:pPr>
              <w:pStyle w:val="80"/>
            </w:pPr>
            <w:r>
              <w:t>п.</w:t>
            </w:r>
            <w:r>
              <w:fldChar w:fldCharType="begin"/>
            </w:r>
            <w:r>
              <w:instrText xml:space="preserve"> REF _Ref154584018 \n \h </w:instrText>
            </w:r>
            <w:r>
              <w:fldChar w:fldCharType="separate"/>
            </w:r>
            <w:r>
              <w:t>4.4.4</w:t>
            </w:r>
            <w:r>
              <w:fldChar w:fldCharType="end"/>
            </w:r>
            <w:r>
              <w:t xml:space="preserve"> «</w:t>
            </w:r>
            <w:r>
              <w:fldChar w:fldCharType="begin"/>
            </w:r>
            <w:r>
              <w:instrText xml:space="preserve"> REF _Ref154584018 \h </w:instrText>
            </w:r>
            <w:r>
              <w:fldChar w:fldCharType="separate"/>
            </w:r>
            <w:r>
              <w:t>Просмотр сведений, попавших в счет</w:t>
            </w:r>
            <w:r>
              <w:fldChar w:fldCharType="end"/>
            </w:r>
            <w:r>
              <w:t>»</w:t>
            </w:r>
          </w:p>
        </w:tc>
        <w:tc>
          <w:tcPr>
            <w:tcW w:w="1741" w:type="pct"/>
            <w:tcBorders>
              <w:top w:val="single" w:color="auto" w:sz="4" w:space="0"/>
              <w:left w:val="single" w:color="auto" w:sz="4" w:space="0"/>
              <w:bottom w:val="single" w:color="auto" w:sz="4" w:space="0"/>
              <w:right w:val="single" w:color="auto" w:sz="4" w:space="0"/>
            </w:tcBorders>
          </w:tcPr>
          <w:p w14:paraId="04216D1B">
            <w:pPr>
              <w:pStyle w:val="80"/>
            </w:pPr>
            <w:r>
              <w:t>Название поля «Плательщик» заменено на «Реестровый номер плательщика»</w:t>
            </w:r>
          </w:p>
        </w:tc>
        <w:tc>
          <w:tcPr>
            <w:tcW w:w="986" w:type="pct"/>
            <w:tcBorders>
              <w:top w:val="single" w:color="auto" w:sz="4" w:space="0"/>
              <w:left w:val="single" w:color="auto" w:sz="4" w:space="0"/>
              <w:bottom w:val="single" w:color="auto" w:sz="4" w:space="0"/>
              <w:right w:val="single" w:color="auto" w:sz="4" w:space="0"/>
            </w:tcBorders>
          </w:tcPr>
          <w:p w14:paraId="116349FA">
            <w:pPr>
              <w:pStyle w:val="80"/>
            </w:pPr>
            <w:r>
              <w:t>Сенотов С.Н.</w:t>
            </w:r>
          </w:p>
        </w:tc>
      </w:tr>
      <w:tr w14:paraId="45385D4A">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81" w:hRule="atLeast"/>
        </w:trPr>
        <w:tc>
          <w:tcPr>
            <w:tcW w:w="302" w:type="pct"/>
            <w:tcBorders>
              <w:top w:val="single" w:color="auto" w:sz="4" w:space="0"/>
              <w:left w:val="single" w:color="auto" w:sz="4" w:space="0"/>
              <w:bottom w:val="single" w:color="auto" w:sz="4" w:space="0"/>
              <w:right w:val="single" w:color="auto" w:sz="4" w:space="0"/>
            </w:tcBorders>
          </w:tcPr>
          <w:p w14:paraId="0B14C26B">
            <w:pPr>
              <w:pStyle w:val="83"/>
            </w:pPr>
            <w:r>
              <w:t>17</w:t>
            </w:r>
          </w:p>
        </w:tc>
        <w:tc>
          <w:tcPr>
            <w:tcW w:w="750" w:type="pct"/>
            <w:tcBorders>
              <w:top w:val="single" w:color="auto" w:sz="4" w:space="0"/>
              <w:left w:val="single" w:color="auto" w:sz="4" w:space="0"/>
              <w:bottom w:val="single" w:color="auto" w:sz="4" w:space="0"/>
              <w:right w:val="single" w:color="auto" w:sz="4" w:space="0"/>
            </w:tcBorders>
          </w:tcPr>
          <w:p w14:paraId="3673493B">
            <w:pPr>
              <w:pStyle w:val="80"/>
              <w:rPr>
                <w:szCs w:val="22"/>
              </w:rPr>
            </w:pPr>
            <w:r>
              <w:rPr>
                <w:szCs w:val="22"/>
              </w:rPr>
              <w:t>09.02.2026</w:t>
            </w:r>
          </w:p>
        </w:tc>
        <w:tc>
          <w:tcPr>
            <w:tcW w:w="1221" w:type="pct"/>
            <w:tcBorders>
              <w:top w:val="single" w:color="auto" w:sz="4" w:space="0"/>
              <w:left w:val="single" w:color="auto" w:sz="4" w:space="0"/>
              <w:bottom w:val="single" w:color="auto" w:sz="4" w:space="0"/>
              <w:right w:val="single" w:color="auto" w:sz="4" w:space="0"/>
            </w:tcBorders>
          </w:tcPr>
          <w:p w14:paraId="7FCD2569">
            <w:pPr>
              <w:pStyle w:val="80"/>
            </w:pPr>
            <w:r>
              <w:t>п.</w:t>
            </w:r>
            <w:r>
              <w:fldChar w:fldCharType="begin"/>
            </w:r>
            <w:r>
              <w:instrText xml:space="preserve"> REF _Ref225766745 \n \h </w:instrText>
            </w:r>
            <w:r>
              <w:fldChar w:fldCharType="separate"/>
            </w:r>
            <w:r>
              <w:t>4.4.6</w:t>
            </w:r>
            <w:r>
              <w:fldChar w:fldCharType="end"/>
            </w:r>
            <w:r>
              <w:t xml:space="preserve"> «</w:t>
            </w:r>
            <w:r>
              <w:fldChar w:fldCharType="begin"/>
            </w:r>
            <w:r>
              <w:instrText xml:space="preserve"> REF _Ref225766745 \h </w:instrText>
            </w:r>
            <w:r>
              <w:fldChar w:fldCharType="separate"/>
            </w:r>
            <w:r>
              <w:t>Просмотр сведений о расчете стоимости СЭФД</w:t>
            </w:r>
            <w:r>
              <w:fldChar w:fldCharType="end"/>
            </w:r>
            <w:r>
              <w:t>»</w:t>
            </w:r>
          </w:p>
        </w:tc>
        <w:tc>
          <w:tcPr>
            <w:tcW w:w="1741" w:type="pct"/>
            <w:tcBorders>
              <w:top w:val="single" w:color="auto" w:sz="4" w:space="0"/>
              <w:left w:val="single" w:color="auto" w:sz="4" w:space="0"/>
              <w:bottom w:val="single" w:color="auto" w:sz="4" w:space="0"/>
              <w:right w:val="single" w:color="auto" w:sz="4" w:space="0"/>
            </w:tcBorders>
          </w:tcPr>
          <w:p w14:paraId="7C212A32">
            <w:pPr>
              <w:pStyle w:val="80"/>
            </w:pPr>
            <w:r>
              <w:t>Добавлено описание просмотра сведений о расчете стоимости СЭФД</w:t>
            </w:r>
          </w:p>
        </w:tc>
        <w:tc>
          <w:tcPr>
            <w:tcW w:w="986" w:type="pct"/>
            <w:tcBorders>
              <w:top w:val="single" w:color="auto" w:sz="4" w:space="0"/>
              <w:left w:val="single" w:color="auto" w:sz="4" w:space="0"/>
              <w:bottom w:val="single" w:color="auto" w:sz="4" w:space="0"/>
              <w:right w:val="single" w:color="auto" w:sz="4" w:space="0"/>
            </w:tcBorders>
          </w:tcPr>
          <w:p w14:paraId="1F5CC683">
            <w:pPr>
              <w:pStyle w:val="80"/>
            </w:pPr>
            <w:r>
              <w:t>Сенотов С.Н.</w:t>
            </w:r>
          </w:p>
        </w:tc>
      </w:tr>
      <w:tr w14:paraId="338F4ECC">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81" w:hRule="atLeast"/>
        </w:trPr>
        <w:tc>
          <w:tcPr>
            <w:tcW w:w="302" w:type="pct"/>
            <w:tcBorders>
              <w:top w:val="single" w:color="auto" w:sz="4" w:space="0"/>
              <w:left w:val="single" w:color="auto" w:sz="4" w:space="0"/>
              <w:bottom w:val="single" w:color="auto" w:sz="4" w:space="0"/>
              <w:right w:val="single" w:color="auto" w:sz="4" w:space="0"/>
            </w:tcBorders>
          </w:tcPr>
          <w:p w14:paraId="5FF2D053">
            <w:pPr>
              <w:pStyle w:val="83"/>
            </w:pPr>
            <w:r>
              <w:rPr>
                <w:lang w:val="en-US"/>
              </w:rPr>
              <w:t>1</w:t>
            </w:r>
            <w:r>
              <w:t>8</w:t>
            </w:r>
          </w:p>
        </w:tc>
        <w:tc>
          <w:tcPr>
            <w:tcW w:w="750" w:type="pct"/>
            <w:tcBorders>
              <w:top w:val="single" w:color="auto" w:sz="4" w:space="0"/>
              <w:left w:val="single" w:color="auto" w:sz="4" w:space="0"/>
              <w:bottom w:val="single" w:color="auto" w:sz="4" w:space="0"/>
              <w:right w:val="single" w:color="auto" w:sz="4" w:space="0"/>
            </w:tcBorders>
          </w:tcPr>
          <w:p w14:paraId="012EE622">
            <w:pPr>
              <w:pStyle w:val="80"/>
              <w:rPr>
                <w:szCs w:val="22"/>
              </w:rPr>
            </w:pPr>
            <w:r>
              <w:rPr>
                <w:szCs w:val="22"/>
              </w:rPr>
              <w:t>09.02.2026</w:t>
            </w:r>
          </w:p>
        </w:tc>
        <w:tc>
          <w:tcPr>
            <w:tcW w:w="1221" w:type="pct"/>
            <w:tcBorders>
              <w:top w:val="single" w:color="auto" w:sz="4" w:space="0"/>
              <w:left w:val="single" w:color="auto" w:sz="4" w:space="0"/>
              <w:bottom w:val="single" w:color="auto" w:sz="4" w:space="0"/>
              <w:right w:val="single" w:color="auto" w:sz="4" w:space="0"/>
            </w:tcBorders>
          </w:tcPr>
          <w:p w14:paraId="7F3F61FE">
            <w:pPr>
              <w:pStyle w:val="80"/>
            </w:pPr>
            <w:r>
              <w:t>п.</w:t>
            </w:r>
            <w:r>
              <w:fldChar w:fldCharType="begin"/>
            </w:r>
            <w:r>
              <w:instrText xml:space="preserve"> REF  _Ref206005013 \h \n \w  \* MERGEFORMAT </w:instrText>
            </w:r>
            <w:r>
              <w:fldChar w:fldCharType="separate"/>
            </w:r>
            <w:r>
              <w:t>4.6.3</w:t>
            </w:r>
            <w:r>
              <w:fldChar w:fldCharType="end"/>
            </w:r>
            <w:r>
              <w:t xml:space="preserve"> «</w:t>
            </w:r>
            <w:r>
              <w:fldChar w:fldCharType="begin"/>
            </w:r>
            <w:r>
              <w:instrText xml:space="preserve"> REF  _Ref206005013 \h  \* MERGEFORMAT </w:instrText>
            </w:r>
            <w:r>
              <w:fldChar w:fldCharType="separate"/>
            </w:r>
            <w:r>
              <w:t>Загрузка сведений об авансировании</w:t>
            </w:r>
            <w:r>
              <w:fldChar w:fldCharType="end"/>
            </w:r>
            <w:r>
              <w:t>»</w:t>
            </w:r>
          </w:p>
        </w:tc>
        <w:tc>
          <w:tcPr>
            <w:tcW w:w="1741" w:type="pct"/>
            <w:tcBorders>
              <w:top w:val="single" w:color="auto" w:sz="4" w:space="0"/>
              <w:left w:val="single" w:color="auto" w:sz="4" w:space="0"/>
              <w:bottom w:val="single" w:color="auto" w:sz="4" w:space="0"/>
              <w:right w:val="single" w:color="auto" w:sz="4" w:space="0"/>
            </w:tcBorders>
          </w:tcPr>
          <w:p w14:paraId="3D9F3D98">
            <w:pPr>
              <w:pStyle w:val="80"/>
            </w:pPr>
            <w:r>
              <w:t>Добавлены рекомендации по просмотру истории загрузок, для шаблонов авансов</w:t>
            </w:r>
          </w:p>
        </w:tc>
        <w:tc>
          <w:tcPr>
            <w:tcW w:w="986" w:type="pct"/>
            <w:tcBorders>
              <w:top w:val="single" w:color="auto" w:sz="4" w:space="0"/>
              <w:left w:val="single" w:color="auto" w:sz="4" w:space="0"/>
              <w:bottom w:val="single" w:color="auto" w:sz="4" w:space="0"/>
              <w:right w:val="single" w:color="auto" w:sz="4" w:space="0"/>
            </w:tcBorders>
          </w:tcPr>
          <w:p w14:paraId="210ABA06">
            <w:pPr>
              <w:pStyle w:val="80"/>
            </w:pPr>
            <w:r>
              <w:t>Пищелка Т.А.</w:t>
            </w:r>
          </w:p>
        </w:tc>
      </w:tr>
      <w:tr w14:paraId="2AE01097">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51ECB687">
            <w:pPr>
              <w:pStyle w:val="83"/>
            </w:pPr>
            <w:r>
              <w:t>19</w:t>
            </w:r>
          </w:p>
        </w:tc>
        <w:tc>
          <w:tcPr>
            <w:tcW w:w="750" w:type="pct"/>
            <w:tcBorders>
              <w:top w:val="single" w:color="auto" w:sz="4" w:space="0"/>
              <w:left w:val="single" w:color="auto" w:sz="4" w:space="0"/>
              <w:bottom w:val="single" w:color="auto" w:sz="4" w:space="0"/>
              <w:right w:val="single" w:color="auto" w:sz="4" w:space="0"/>
            </w:tcBorders>
          </w:tcPr>
          <w:p w14:paraId="01234432">
            <w:pPr>
              <w:pStyle w:val="80"/>
              <w:rPr>
                <w:szCs w:val="22"/>
              </w:rPr>
            </w:pPr>
            <w:r>
              <w:rPr>
                <w:szCs w:val="22"/>
              </w:rPr>
              <w:t>09.02.2026</w:t>
            </w:r>
          </w:p>
        </w:tc>
        <w:tc>
          <w:tcPr>
            <w:tcW w:w="1221" w:type="pct"/>
            <w:tcBorders>
              <w:top w:val="single" w:color="auto" w:sz="4" w:space="0"/>
              <w:left w:val="single" w:color="auto" w:sz="4" w:space="0"/>
              <w:bottom w:val="single" w:color="auto" w:sz="4" w:space="0"/>
              <w:right w:val="single" w:color="auto" w:sz="4" w:space="0"/>
            </w:tcBorders>
          </w:tcPr>
          <w:p w14:paraId="40FBEA49">
            <w:pPr>
              <w:pStyle w:val="80"/>
            </w:pPr>
            <w:r>
              <w:t>п.</w:t>
            </w:r>
            <w:r>
              <w:fldChar w:fldCharType="begin"/>
            </w:r>
            <w:r>
              <w:instrText xml:space="preserve"> REF _Ref163042533 \n \h </w:instrText>
            </w:r>
            <w:r>
              <w:fldChar w:fldCharType="separate"/>
            </w:r>
            <w:r>
              <w:t>4.6.4</w:t>
            </w:r>
            <w:r>
              <w:fldChar w:fldCharType="end"/>
            </w:r>
            <w:r>
              <w:t xml:space="preserve"> «</w:t>
            </w:r>
            <w:r>
              <w:fldChar w:fldCharType="begin"/>
            </w:r>
            <w:r>
              <w:instrText xml:space="preserve"> REF _Ref163042533 \h </w:instrText>
            </w:r>
            <w:r>
              <w:fldChar w:fldCharType="separate"/>
            </w:r>
            <w:r>
              <w:t>Загрузка сведений о снятиях</w:t>
            </w:r>
            <w:r>
              <w:fldChar w:fldCharType="end"/>
            </w:r>
            <w:r>
              <w:t>»</w:t>
            </w:r>
          </w:p>
        </w:tc>
        <w:tc>
          <w:tcPr>
            <w:tcW w:w="1741" w:type="pct"/>
            <w:tcBorders>
              <w:top w:val="single" w:color="auto" w:sz="4" w:space="0"/>
              <w:left w:val="single" w:color="auto" w:sz="4" w:space="0"/>
              <w:bottom w:val="single" w:color="auto" w:sz="4" w:space="0"/>
              <w:right w:val="single" w:color="auto" w:sz="4" w:space="0"/>
            </w:tcBorders>
          </w:tcPr>
          <w:p w14:paraId="1B57CE3C">
            <w:pPr>
              <w:pStyle w:val="80"/>
            </w:pPr>
            <w:r>
              <w:t>Добавлены рекомендации по просмотру истории загрузок, для шаблонов снятий</w:t>
            </w:r>
          </w:p>
        </w:tc>
        <w:tc>
          <w:tcPr>
            <w:tcW w:w="986" w:type="pct"/>
            <w:tcBorders>
              <w:top w:val="single" w:color="auto" w:sz="4" w:space="0"/>
              <w:left w:val="single" w:color="auto" w:sz="4" w:space="0"/>
              <w:bottom w:val="single" w:color="auto" w:sz="4" w:space="0"/>
              <w:right w:val="single" w:color="auto" w:sz="4" w:space="0"/>
            </w:tcBorders>
          </w:tcPr>
          <w:p w14:paraId="128F9F54">
            <w:pPr>
              <w:pStyle w:val="80"/>
            </w:pPr>
            <w:r>
              <w:t>Сенотов С.Н.</w:t>
            </w:r>
          </w:p>
        </w:tc>
      </w:tr>
      <w:tr w14:paraId="5F91CD3C">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256904BE">
            <w:pPr>
              <w:pStyle w:val="83"/>
            </w:pPr>
            <w:r>
              <w:t>20</w:t>
            </w:r>
          </w:p>
        </w:tc>
        <w:tc>
          <w:tcPr>
            <w:tcW w:w="750" w:type="pct"/>
            <w:tcBorders>
              <w:top w:val="single" w:color="auto" w:sz="4" w:space="0"/>
              <w:left w:val="single" w:color="auto" w:sz="4" w:space="0"/>
              <w:bottom w:val="single" w:color="auto" w:sz="4" w:space="0"/>
              <w:right w:val="single" w:color="auto" w:sz="4" w:space="0"/>
            </w:tcBorders>
          </w:tcPr>
          <w:p w14:paraId="48E7C3DD">
            <w:pPr>
              <w:pStyle w:val="80"/>
              <w:rPr>
                <w:szCs w:val="22"/>
              </w:rPr>
            </w:pPr>
            <w:r>
              <w:rPr>
                <w:szCs w:val="22"/>
              </w:rPr>
              <w:t>10.02.2026</w:t>
            </w:r>
          </w:p>
        </w:tc>
        <w:tc>
          <w:tcPr>
            <w:tcW w:w="1221" w:type="pct"/>
            <w:tcBorders>
              <w:top w:val="single" w:color="auto" w:sz="4" w:space="0"/>
              <w:left w:val="single" w:color="auto" w:sz="4" w:space="0"/>
              <w:bottom w:val="single" w:color="auto" w:sz="4" w:space="0"/>
              <w:right w:val="single" w:color="auto" w:sz="4" w:space="0"/>
            </w:tcBorders>
          </w:tcPr>
          <w:p w14:paraId="7E51E320">
            <w:pPr>
              <w:pStyle w:val="80"/>
            </w:pPr>
            <w:r>
              <w:t>Приложения</w:t>
            </w:r>
          </w:p>
        </w:tc>
        <w:tc>
          <w:tcPr>
            <w:tcW w:w="1741" w:type="pct"/>
            <w:tcBorders>
              <w:top w:val="single" w:color="auto" w:sz="4" w:space="0"/>
              <w:left w:val="single" w:color="auto" w:sz="4" w:space="0"/>
              <w:bottom w:val="single" w:color="auto" w:sz="4" w:space="0"/>
              <w:right w:val="single" w:color="auto" w:sz="4" w:space="0"/>
            </w:tcBorders>
          </w:tcPr>
          <w:p w14:paraId="26834DC5">
            <w:pPr>
              <w:pStyle w:val="80"/>
            </w:pPr>
            <w:r>
              <w:t xml:space="preserve">Приложение Б </w:t>
            </w:r>
            <w:r>
              <w:fldChar w:fldCharType="begin"/>
            </w:r>
            <w:r>
              <w:instrText xml:space="preserve"> REF _Ref184982730 \h </w:instrText>
            </w:r>
            <w:r>
              <w:fldChar w:fldCharType="separate"/>
            </w:r>
            <w:r>
              <w:t>(справочное)</w:t>
            </w:r>
            <w:r>
              <w:br w:type="textWrapping"/>
            </w:r>
            <w:r>
              <w:t xml:space="preserve">Просмотр файлов формата </w:t>
            </w:r>
            <w:r>
              <w:rPr>
                <w:lang w:val="en-US"/>
              </w:rPr>
              <w:t>XML</w:t>
            </w:r>
            <w:r>
              <w:t xml:space="preserve"> и </w:t>
            </w:r>
            <w:r>
              <w:rPr>
                <w:lang w:val="en-US"/>
              </w:rPr>
              <w:t>CSV</w:t>
            </w:r>
            <w:r>
              <w:fldChar w:fldCharType="end"/>
            </w:r>
            <w:r>
              <w:t xml:space="preserve"> переименовано в </w:t>
            </w:r>
            <w:r>
              <w:fldChar w:fldCharType="begin"/>
            </w:r>
            <w:r>
              <w:instrText xml:space="preserve"> REF _Ref184982730 \n \h </w:instrText>
            </w:r>
            <w:r>
              <w:fldChar w:fldCharType="separate"/>
            </w:r>
            <w:r>
              <w:t>Приложение В</w:t>
            </w:r>
            <w:r>
              <w:fldChar w:fldCharType="end"/>
            </w:r>
          </w:p>
        </w:tc>
        <w:tc>
          <w:tcPr>
            <w:tcW w:w="986" w:type="pct"/>
            <w:tcBorders>
              <w:top w:val="single" w:color="auto" w:sz="4" w:space="0"/>
              <w:left w:val="single" w:color="auto" w:sz="4" w:space="0"/>
              <w:bottom w:val="single" w:color="auto" w:sz="4" w:space="0"/>
              <w:right w:val="single" w:color="auto" w:sz="4" w:space="0"/>
            </w:tcBorders>
          </w:tcPr>
          <w:p w14:paraId="164B3DE2">
            <w:pPr>
              <w:pStyle w:val="80"/>
            </w:pPr>
            <w:r>
              <w:t>Сенотов С.Н.</w:t>
            </w:r>
          </w:p>
        </w:tc>
      </w:tr>
      <w:tr w14:paraId="32082AA6">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0557C74F">
            <w:pPr>
              <w:pStyle w:val="83"/>
            </w:pPr>
            <w:r>
              <w:t>21</w:t>
            </w:r>
          </w:p>
        </w:tc>
        <w:tc>
          <w:tcPr>
            <w:tcW w:w="750" w:type="pct"/>
            <w:tcBorders>
              <w:top w:val="single" w:color="auto" w:sz="4" w:space="0"/>
              <w:left w:val="single" w:color="auto" w:sz="4" w:space="0"/>
              <w:bottom w:val="single" w:color="auto" w:sz="4" w:space="0"/>
              <w:right w:val="single" w:color="auto" w:sz="4" w:space="0"/>
            </w:tcBorders>
          </w:tcPr>
          <w:p w14:paraId="1385DBEC">
            <w:pPr>
              <w:pStyle w:val="80"/>
              <w:rPr>
                <w:szCs w:val="22"/>
              </w:rPr>
            </w:pPr>
            <w:r>
              <w:rPr>
                <w:szCs w:val="22"/>
              </w:rPr>
              <w:t>10.02.2026</w:t>
            </w:r>
          </w:p>
        </w:tc>
        <w:tc>
          <w:tcPr>
            <w:tcW w:w="1221" w:type="pct"/>
            <w:tcBorders>
              <w:top w:val="single" w:color="auto" w:sz="4" w:space="0"/>
              <w:left w:val="single" w:color="auto" w:sz="4" w:space="0"/>
              <w:bottom w:val="single" w:color="auto" w:sz="4" w:space="0"/>
              <w:right w:val="single" w:color="auto" w:sz="4" w:space="0"/>
            </w:tcBorders>
          </w:tcPr>
          <w:p w14:paraId="1152A562">
            <w:pPr>
              <w:pStyle w:val="80"/>
            </w:pPr>
            <w:r>
              <w:t>Приложения</w:t>
            </w:r>
          </w:p>
        </w:tc>
        <w:tc>
          <w:tcPr>
            <w:tcW w:w="1741" w:type="pct"/>
            <w:tcBorders>
              <w:top w:val="single" w:color="auto" w:sz="4" w:space="0"/>
              <w:left w:val="single" w:color="auto" w:sz="4" w:space="0"/>
              <w:bottom w:val="single" w:color="auto" w:sz="4" w:space="0"/>
              <w:right w:val="single" w:color="auto" w:sz="4" w:space="0"/>
            </w:tcBorders>
          </w:tcPr>
          <w:p w14:paraId="2A9F605E">
            <w:pPr>
              <w:pStyle w:val="80"/>
            </w:pPr>
            <w:r>
              <w:t xml:space="preserve">Добавлено </w:t>
            </w:r>
            <w:r>
              <w:fldChar w:fldCharType="begin"/>
            </w:r>
            <w:r>
              <w:instrText xml:space="preserve"> REF _Ref184982730 \n \h </w:instrText>
            </w:r>
            <w:r>
              <w:fldChar w:fldCharType="separate"/>
            </w:r>
            <w:r>
              <w:t>Приложение В</w:t>
            </w:r>
            <w:r>
              <w:fldChar w:fldCharType="end"/>
            </w:r>
            <w:r>
              <w:t xml:space="preserve"> «Типы счетов»</w:t>
            </w:r>
          </w:p>
        </w:tc>
        <w:tc>
          <w:tcPr>
            <w:tcW w:w="986" w:type="pct"/>
            <w:tcBorders>
              <w:top w:val="single" w:color="auto" w:sz="4" w:space="0"/>
              <w:left w:val="single" w:color="auto" w:sz="4" w:space="0"/>
              <w:bottom w:val="single" w:color="auto" w:sz="4" w:space="0"/>
              <w:right w:val="single" w:color="auto" w:sz="4" w:space="0"/>
            </w:tcBorders>
          </w:tcPr>
          <w:p w14:paraId="3F40BFBA">
            <w:pPr>
              <w:pStyle w:val="80"/>
            </w:pPr>
            <w:r>
              <w:t>Сенотов С.Н.</w:t>
            </w:r>
          </w:p>
        </w:tc>
      </w:tr>
      <w:tr w14:paraId="6842BA31">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70F8CBCA">
            <w:pPr>
              <w:pStyle w:val="83"/>
            </w:pPr>
            <w:r>
              <w:t>22</w:t>
            </w:r>
          </w:p>
        </w:tc>
        <w:tc>
          <w:tcPr>
            <w:tcW w:w="750" w:type="pct"/>
            <w:tcBorders>
              <w:top w:val="single" w:color="auto" w:sz="4" w:space="0"/>
              <w:left w:val="single" w:color="auto" w:sz="4" w:space="0"/>
              <w:bottom w:val="single" w:color="auto" w:sz="4" w:space="0"/>
              <w:right w:val="single" w:color="auto" w:sz="4" w:space="0"/>
            </w:tcBorders>
          </w:tcPr>
          <w:p w14:paraId="13AEEB90">
            <w:pPr>
              <w:pStyle w:val="80"/>
              <w:rPr>
                <w:szCs w:val="22"/>
              </w:rPr>
            </w:pPr>
            <w:r>
              <w:rPr>
                <w:szCs w:val="22"/>
              </w:rPr>
              <w:t>10.02.2026</w:t>
            </w:r>
          </w:p>
        </w:tc>
        <w:tc>
          <w:tcPr>
            <w:tcW w:w="1221" w:type="pct"/>
            <w:tcBorders>
              <w:top w:val="single" w:color="auto" w:sz="4" w:space="0"/>
              <w:left w:val="single" w:color="auto" w:sz="4" w:space="0"/>
              <w:bottom w:val="single" w:color="auto" w:sz="4" w:space="0"/>
              <w:right w:val="single" w:color="auto" w:sz="4" w:space="0"/>
            </w:tcBorders>
          </w:tcPr>
          <w:p w14:paraId="388FAB6F">
            <w:pPr>
              <w:pStyle w:val="80"/>
            </w:pPr>
            <w:r>
              <w:t>п.</w:t>
            </w:r>
            <w:r>
              <w:fldChar w:fldCharType="begin"/>
            </w:r>
            <w:r>
              <w:instrText xml:space="preserve"> REF _Ref162368679 \n \h </w:instrText>
            </w:r>
            <w:r>
              <w:fldChar w:fldCharType="separate"/>
            </w:r>
            <w:r>
              <w:t>4.3.2</w:t>
            </w:r>
            <w:r>
              <w:fldChar w:fldCharType="end"/>
            </w:r>
            <w:r>
              <w:t xml:space="preserve"> «</w:t>
            </w:r>
            <w:r>
              <w:fldChar w:fldCharType="begin"/>
            </w:r>
            <w:r>
              <w:instrText xml:space="preserve"> REF _Ref162368679 \h </w:instrText>
            </w:r>
            <w:r>
              <w:fldChar w:fldCharType="separate"/>
            </w:r>
            <w:r>
              <w:t>Выгрузка отчетов информационного взаимодействия</w:t>
            </w:r>
            <w:r>
              <w:fldChar w:fldCharType="end"/>
            </w:r>
            <w:r>
              <w:t>»</w:t>
            </w:r>
          </w:p>
        </w:tc>
        <w:tc>
          <w:tcPr>
            <w:tcW w:w="1741" w:type="pct"/>
            <w:tcBorders>
              <w:top w:val="single" w:color="auto" w:sz="4" w:space="0"/>
              <w:left w:val="single" w:color="auto" w:sz="4" w:space="0"/>
              <w:bottom w:val="single" w:color="auto" w:sz="4" w:space="0"/>
              <w:right w:val="single" w:color="auto" w:sz="4" w:space="0"/>
            </w:tcBorders>
          </w:tcPr>
          <w:p w14:paraId="7AB09D08">
            <w:pPr>
              <w:pStyle w:val="80"/>
            </w:pPr>
            <w:r>
              <w:t>Добавлен п.</w:t>
            </w:r>
            <w:r>
              <w:fldChar w:fldCharType="begin"/>
            </w:r>
            <w:r>
              <w:instrText xml:space="preserve"> REF _Ref225786310 \n \h </w:instrText>
            </w:r>
            <w:r>
              <w:fldChar w:fldCharType="separate"/>
            </w:r>
            <w:r>
              <w:t>4.3.2.3</w:t>
            </w:r>
            <w:r>
              <w:fldChar w:fldCharType="end"/>
            </w:r>
            <w:r>
              <w:t xml:space="preserve"> с описанием состава документов информационной посылки с типом «Отправлено МО»</w:t>
            </w:r>
          </w:p>
        </w:tc>
        <w:tc>
          <w:tcPr>
            <w:tcW w:w="986" w:type="pct"/>
            <w:tcBorders>
              <w:top w:val="single" w:color="auto" w:sz="4" w:space="0"/>
              <w:left w:val="single" w:color="auto" w:sz="4" w:space="0"/>
              <w:bottom w:val="single" w:color="auto" w:sz="4" w:space="0"/>
              <w:right w:val="single" w:color="auto" w:sz="4" w:space="0"/>
            </w:tcBorders>
          </w:tcPr>
          <w:p w14:paraId="648548B2">
            <w:pPr>
              <w:pStyle w:val="80"/>
            </w:pPr>
            <w:r>
              <w:t>Сенотов С.Н.</w:t>
            </w:r>
          </w:p>
        </w:tc>
      </w:tr>
      <w:tr w14:paraId="2BE01C7E">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7DC8FAEF">
            <w:pPr>
              <w:pStyle w:val="83"/>
            </w:pPr>
            <w:r>
              <w:t>23</w:t>
            </w:r>
          </w:p>
        </w:tc>
        <w:tc>
          <w:tcPr>
            <w:tcW w:w="750" w:type="pct"/>
            <w:tcBorders>
              <w:top w:val="single" w:color="auto" w:sz="4" w:space="0"/>
              <w:left w:val="single" w:color="auto" w:sz="4" w:space="0"/>
              <w:bottom w:val="single" w:color="auto" w:sz="4" w:space="0"/>
              <w:right w:val="single" w:color="auto" w:sz="4" w:space="0"/>
            </w:tcBorders>
          </w:tcPr>
          <w:p w14:paraId="224FACFE">
            <w:pPr>
              <w:pStyle w:val="80"/>
              <w:rPr>
                <w:szCs w:val="22"/>
              </w:rPr>
            </w:pPr>
            <w:r>
              <w:rPr>
                <w:szCs w:val="22"/>
              </w:rPr>
              <w:t>10.02.2026</w:t>
            </w:r>
          </w:p>
        </w:tc>
        <w:tc>
          <w:tcPr>
            <w:tcW w:w="1221" w:type="pct"/>
            <w:tcBorders>
              <w:top w:val="single" w:color="auto" w:sz="4" w:space="0"/>
              <w:left w:val="single" w:color="auto" w:sz="4" w:space="0"/>
              <w:bottom w:val="single" w:color="auto" w:sz="4" w:space="0"/>
              <w:right w:val="single" w:color="auto" w:sz="4" w:space="0"/>
            </w:tcBorders>
          </w:tcPr>
          <w:p w14:paraId="65AC6403">
            <w:pPr>
              <w:pStyle w:val="80"/>
            </w:pPr>
            <w:r>
              <w:t>п.</w:t>
            </w:r>
            <w:r>
              <w:fldChar w:fldCharType="begin"/>
            </w:r>
            <w:r>
              <w:instrText xml:space="preserve"> REF _Ref142477253 \n \h </w:instrText>
            </w:r>
            <w:r>
              <w:fldChar w:fldCharType="separate"/>
            </w:r>
            <w:r>
              <w:t>4.2.3</w:t>
            </w:r>
            <w:r>
              <w:fldChar w:fldCharType="end"/>
            </w:r>
            <w:r>
              <w:t xml:space="preserve"> «</w:t>
            </w:r>
            <w:r>
              <w:fldChar w:fldCharType="begin"/>
            </w:r>
            <w:r>
              <w:instrText xml:space="preserve"> REF _Ref142477253 \h </w:instrText>
            </w:r>
            <w:r>
              <w:fldChar w:fldCharType="separate"/>
            </w:r>
            <w:r>
              <w:t>Просмотр и выгрузка паспорта счета</w:t>
            </w:r>
            <w:r>
              <w:fldChar w:fldCharType="end"/>
            </w:r>
            <w:r>
              <w:t>»</w:t>
            </w:r>
          </w:p>
        </w:tc>
        <w:tc>
          <w:tcPr>
            <w:tcW w:w="1741" w:type="pct"/>
            <w:tcBorders>
              <w:top w:val="single" w:color="auto" w:sz="4" w:space="0"/>
              <w:left w:val="single" w:color="auto" w:sz="4" w:space="0"/>
              <w:bottom w:val="single" w:color="auto" w:sz="4" w:space="0"/>
              <w:right w:val="single" w:color="auto" w:sz="4" w:space="0"/>
            </w:tcBorders>
          </w:tcPr>
          <w:p w14:paraId="2185BBD5">
            <w:pPr>
              <w:pStyle w:val="80"/>
            </w:pPr>
            <w:r>
              <w:t>Детализировано описание операций раздела</w:t>
            </w:r>
          </w:p>
        </w:tc>
        <w:tc>
          <w:tcPr>
            <w:tcW w:w="986" w:type="pct"/>
            <w:tcBorders>
              <w:top w:val="single" w:color="auto" w:sz="4" w:space="0"/>
              <w:left w:val="single" w:color="auto" w:sz="4" w:space="0"/>
              <w:bottom w:val="single" w:color="auto" w:sz="4" w:space="0"/>
              <w:right w:val="single" w:color="auto" w:sz="4" w:space="0"/>
            </w:tcBorders>
          </w:tcPr>
          <w:p w14:paraId="22838DB5">
            <w:pPr>
              <w:pStyle w:val="80"/>
            </w:pPr>
            <w:r>
              <w:t>Сенотов С.Н.</w:t>
            </w:r>
          </w:p>
        </w:tc>
      </w:tr>
      <w:tr w14:paraId="4C0E85B3">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3EF4675C">
            <w:pPr>
              <w:pStyle w:val="83"/>
            </w:pPr>
            <w:r>
              <w:t>24</w:t>
            </w:r>
          </w:p>
        </w:tc>
        <w:tc>
          <w:tcPr>
            <w:tcW w:w="750" w:type="pct"/>
            <w:tcBorders>
              <w:top w:val="single" w:color="auto" w:sz="4" w:space="0"/>
              <w:left w:val="single" w:color="auto" w:sz="4" w:space="0"/>
              <w:bottom w:val="single" w:color="auto" w:sz="4" w:space="0"/>
              <w:right w:val="single" w:color="auto" w:sz="4" w:space="0"/>
            </w:tcBorders>
          </w:tcPr>
          <w:p w14:paraId="412DF7C8">
            <w:pPr>
              <w:pStyle w:val="80"/>
              <w:rPr>
                <w:szCs w:val="22"/>
              </w:rPr>
            </w:pPr>
            <w:r>
              <w:rPr>
                <w:szCs w:val="22"/>
              </w:rPr>
              <w:t>10.02.2026</w:t>
            </w:r>
          </w:p>
        </w:tc>
        <w:tc>
          <w:tcPr>
            <w:tcW w:w="1221" w:type="pct"/>
            <w:tcBorders>
              <w:top w:val="single" w:color="auto" w:sz="4" w:space="0"/>
              <w:left w:val="single" w:color="auto" w:sz="4" w:space="0"/>
              <w:bottom w:val="single" w:color="auto" w:sz="4" w:space="0"/>
              <w:right w:val="single" w:color="auto" w:sz="4" w:space="0"/>
            </w:tcBorders>
          </w:tcPr>
          <w:p w14:paraId="1B8798D0">
            <w:pPr>
              <w:pStyle w:val="80"/>
            </w:pPr>
            <w:r>
              <w:fldChar w:fldCharType="begin"/>
            </w:r>
            <w:r>
              <w:instrText xml:space="preserve"> REF _Ref225866236 \n \h </w:instrText>
            </w:r>
            <w:r>
              <w:fldChar w:fldCharType="separate"/>
            </w:r>
            <w:r>
              <w:t>4.2.4</w:t>
            </w:r>
            <w:r>
              <w:fldChar w:fldCharType="end"/>
            </w:r>
            <w:r>
              <w:t xml:space="preserve"> «</w:t>
            </w:r>
            <w:r>
              <w:fldChar w:fldCharType="begin"/>
            </w:r>
            <w:r>
              <w:instrText xml:space="preserve"> REF _Ref225866245 \h </w:instrText>
            </w:r>
            <w:r>
              <w:fldChar w:fldCharType="separate"/>
            </w:r>
            <w:r>
              <w:t>Просмотр акта расчетов</w:t>
            </w:r>
            <w:r>
              <w:fldChar w:fldCharType="end"/>
            </w:r>
            <w:r>
              <w:t>»</w:t>
            </w:r>
          </w:p>
        </w:tc>
        <w:tc>
          <w:tcPr>
            <w:tcW w:w="1741" w:type="pct"/>
            <w:tcBorders>
              <w:top w:val="single" w:color="auto" w:sz="4" w:space="0"/>
              <w:left w:val="single" w:color="auto" w:sz="4" w:space="0"/>
              <w:bottom w:val="single" w:color="auto" w:sz="4" w:space="0"/>
              <w:right w:val="single" w:color="auto" w:sz="4" w:space="0"/>
            </w:tcBorders>
          </w:tcPr>
          <w:p w14:paraId="3BFE1F48">
            <w:pPr>
              <w:pStyle w:val="80"/>
            </w:pPr>
            <w:r>
              <w:t>Детализировано описание операций раздела</w:t>
            </w:r>
          </w:p>
        </w:tc>
        <w:tc>
          <w:tcPr>
            <w:tcW w:w="986" w:type="pct"/>
            <w:tcBorders>
              <w:top w:val="single" w:color="auto" w:sz="4" w:space="0"/>
              <w:left w:val="single" w:color="auto" w:sz="4" w:space="0"/>
              <w:bottom w:val="single" w:color="auto" w:sz="4" w:space="0"/>
              <w:right w:val="single" w:color="auto" w:sz="4" w:space="0"/>
            </w:tcBorders>
          </w:tcPr>
          <w:p w14:paraId="1F02DE15">
            <w:pPr>
              <w:pStyle w:val="80"/>
            </w:pPr>
            <w:r>
              <w:t>Сенотов С.Н.</w:t>
            </w:r>
          </w:p>
        </w:tc>
      </w:tr>
      <w:tr w14:paraId="7E713263">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35450830">
            <w:pPr>
              <w:pStyle w:val="83"/>
            </w:pPr>
          </w:p>
        </w:tc>
        <w:tc>
          <w:tcPr>
            <w:tcW w:w="750" w:type="pct"/>
            <w:tcBorders>
              <w:top w:val="single" w:color="auto" w:sz="4" w:space="0"/>
              <w:left w:val="single" w:color="auto" w:sz="4" w:space="0"/>
              <w:bottom w:val="single" w:color="auto" w:sz="4" w:space="0"/>
              <w:right w:val="single" w:color="auto" w:sz="4" w:space="0"/>
            </w:tcBorders>
          </w:tcPr>
          <w:p w14:paraId="3457DDB3">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29E0E1B6">
            <w:pPr>
              <w:pStyle w:val="80"/>
            </w:pPr>
          </w:p>
        </w:tc>
        <w:tc>
          <w:tcPr>
            <w:tcW w:w="1741" w:type="pct"/>
            <w:tcBorders>
              <w:top w:val="single" w:color="auto" w:sz="4" w:space="0"/>
              <w:left w:val="single" w:color="auto" w:sz="4" w:space="0"/>
              <w:bottom w:val="single" w:color="auto" w:sz="4" w:space="0"/>
              <w:right w:val="single" w:color="auto" w:sz="4" w:space="0"/>
            </w:tcBorders>
          </w:tcPr>
          <w:p w14:paraId="333FDA1C">
            <w:pPr>
              <w:pStyle w:val="80"/>
            </w:pPr>
          </w:p>
        </w:tc>
        <w:tc>
          <w:tcPr>
            <w:tcW w:w="986" w:type="pct"/>
            <w:tcBorders>
              <w:top w:val="single" w:color="auto" w:sz="4" w:space="0"/>
              <w:left w:val="single" w:color="auto" w:sz="4" w:space="0"/>
              <w:bottom w:val="single" w:color="auto" w:sz="4" w:space="0"/>
              <w:right w:val="single" w:color="auto" w:sz="4" w:space="0"/>
            </w:tcBorders>
          </w:tcPr>
          <w:p w14:paraId="339F3997">
            <w:pPr>
              <w:pStyle w:val="80"/>
            </w:pPr>
          </w:p>
        </w:tc>
      </w:tr>
      <w:tr w14:paraId="0CA8369A">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774804EC">
            <w:pPr>
              <w:pStyle w:val="83"/>
            </w:pPr>
          </w:p>
        </w:tc>
        <w:tc>
          <w:tcPr>
            <w:tcW w:w="750" w:type="pct"/>
            <w:tcBorders>
              <w:top w:val="single" w:color="auto" w:sz="4" w:space="0"/>
              <w:left w:val="single" w:color="auto" w:sz="4" w:space="0"/>
              <w:bottom w:val="single" w:color="auto" w:sz="4" w:space="0"/>
              <w:right w:val="single" w:color="auto" w:sz="4" w:space="0"/>
            </w:tcBorders>
          </w:tcPr>
          <w:p w14:paraId="20F1DC0E">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7993C48C">
            <w:pPr>
              <w:pStyle w:val="80"/>
            </w:pPr>
          </w:p>
        </w:tc>
        <w:tc>
          <w:tcPr>
            <w:tcW w:w="1741" w:type="pct"/>
            <w:tcBorders>
              <w:top w:val="single" w:color="auto" w:sz="4" w:space="0"/>
              <w:left w:val="single" w:color="auto" w:sz="4" w:space="0"/>
              <w:bottom w:val="single" w:color="auto" w:sz="4" w:space="0"/>
              <w:right w:val="single" w:color="auto" w:sz="4" w:space="0"/>
            </w:tcBorders>
          </w:tcPr>
          <w:p w14:paraId="34E8294B">
            <w:pPr>
              <w:pStyle w:val="80"/>
            </w:pPr>
          </w:p>
        </w:tc>
        <w:tc>
          <w:tcPr>
            <w:tcW w:w="986" w:type="pct"/>
            <w:tcBorders>
              <w:top w:val="single" w:color="auto" w:sz="4" w:space="0"/>
              <w:left w:val="single" w:color="auto" w:sz="4" w:space="0"/>
              <w:bottom w:val="single" w:color="auto" w:sz="4" w:space="0"/>
              <w:right w:val="single" w:color="auto" w:sz="4" w:space="0"/>
            </w:tcBorders>
          </w:tcPr>
          <w:p w14:paraId="4984F498">
            <w:pPr>
              <w:pStyle w:val="80"/>
            </w:pPr>
          </w:p>
        </w:tc>
      </w:tr>
      <w:tr w14:paraId="47FF6D49">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2A8418E7">
            <w:pPr>
              <w:pStyle w:val="83"/>
            </w:pPr>
          </w:p>
        </w:tc>
        <w:tc>
          <w:tcPr>
            <w:tcW w:w="750" w:type="pct"/>
            <w:tcBorders>
              <w:top w:val="single" w:color="auto" w:sz="4" w:space="0"/>
              <w:left w:val="single" w:color="auto" w:sz="4" w:space="0"/>
              <w:bottom w:val="single" w:color="auto" w:sz="4" w:space="0"/>
              <w:right w:val="single" w:color="auto" w:sz="4" w:space="0"/>
            </w:tcBorders>
          </w:tcPr>
          <w:p w14:paraId="28BC1A7B">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53509BE0">
            <w:pPr>
              <w:pStyle w:val="80"/>
            </w:pPr>
          </w:p>
        </w:tc>
        <w:tc>
          <w:tcPr>
            <w:tcW w:w="1741" w:type="pct"/>
            <w:tcBorders>
              <w:top w:val="single" w:color="auto" w:sz="4" w:space="0"/>
              <w:left w:val="single" w:color="auto" w:sz="4" w:space="0"/>
              <w:bottom w:val="single" w:color="auto" w:sz="4" w:space="0"/>
              <w:right w:val="single" w:color="auto" w:sz="4" w:space="0"/>
            </w:tcBorders>
          </w:tcPr>
          <w:p w14:paraId="5678CD3F">
            <w:pPr>
              <w:pStyle w:val="80"/>
            </w:pPr>
          </w:p>
        </w:tc>
        <w:tc>
          <w:tcPr>
            <w:tcW w:w="986" w:type="pct"/>
            <w:tcBorders>
              <w:top w:val="single" w:color="auto" w:sz="4" w:space="0"/>
              <w:left w:val="single" w:color="auto" w:sz="4" w:space="0"/>
              <w:bottom w:val="single" w:color="auto" w:sz="4" w:space="0"/>
              <w:right w:val="single" w:color="auto" w:sz="4" w:space="0"/>
            </w:tcBorders>
          </w:tcPr>
          <w:p w14:paraId="7366C0CD">
            <w:pPr>
              <w:pStyle w:val="80"/>
            </w:pPr>
          </w:p>
        </w:tc>
      </w:tr>
      <w:tr w14:paraId="3FC33C02">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07C78C93">
            <w:pPr>
              <w:pStyle w:val="83"/>
            </w:pPr>
          </w:p>
        </w:tc>
        <w:tc>
          <w:tcPr>
            <w:tcW w:w="750" w:type="pct"/>
            <w:tcBorders>
              <w:top w:val="single" w:color="auto" w:sz="4" w:space="0"/>
              <w:left w:val="single" w:color="auto" w:sz="4" w:space="0"/>
              <w:bottom w:val="single" w:color="auto" w:sz="4" w:space="0"/>
              <w:right w:val="single" w:color="auto" w:sz="4" w:space="0"/>
            </w:tcBorders>
          </w:tcPr>
          <w:p w14:paraId="0D688A72">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7E93DCE0">
            <w:pPr>
              <w:pStyle w:val="80"/>
            </w:pPr>
          </w:p>
        </w:tc>
        <w:tc>
          <w:tcPr>
            <w:tcW w:w="1741" w:type="pct"/>
            <w:tcBorders>
              <w:top w:val="single" w:color="auto" w:sz="4" w:space="0"/>
              <w:left w:val="single" w:color="auto" w:sz="4" w:space="0"/>
              <w:bottom w:val="single" w:color="auto" w:sz="4" w:space="0"/>
              <w:right w:val="single" w:color="auto" w:sz="4" w:space="0"/>
            </w:tcBorders>
          </w:tcPr>
          <w:p w14:paraId="098D76B0">
            <w:pPr>
              <w:pStyle w:val="80"/>
            </w:pPr>
          </w:p>
        </w:tc>
        <w:tc>
          <w:tcPr>
            <w:tcW w:w="986" w:type="pct"/>
            <w:tcBorders>
              <w:top w:val="single" w:color="auto" w:sz="4" w:space="0"/>
              <w:left w:val="single" w:color="auto" w:sz="4" w:space="0"/>
              <w:bottom w:val="single" w:color="auto" w:sz="4" w:space="0"/>
              <w:right w:val="single" w:color="auto" w:sz="4" w:space="0"/>
            </w:tcBorders>
          </w:tcPr>
          <w:p w14:paraId="130EF46A">
            <w:pPr>
              <w:pStyle w:val="80"/>
            </w:pPr>
          </w:p>
        </w:tc>
      </w:tr>
      <w:tr w14:paraId="08488C49">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701CB606">
            <w:pPr>
              <w:pStyle w:val="83"/>
            </w:pPr>
          </w:p>
        </w:tc>
        <w:tc>
          <w:tcPr>
            <w:tcW w:w="750" w:type="pct"/>
            <w:tcBorders>
              <w:top w:val="single" w:color="auto" w:sz="4" w:space="0"/>
              <w:left w:val="single" w:color="auto" w:sz="4" w:space="0"/>
              <w:bottom w:val="single" w:color="auto" w:sz="4" w:space="0"/>
              <w:right w:val="single" w:color="auto" w:sz="4" w:space="0"/>
            </w:tcBorders>
          </w:tcPr>
          <w:p w14:paraId="187FF001">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7F271885">
            <w:pPr>
              <w:pStyle w:val="80"/>
            </w:pPr>
          </w:p>
        </w:tc>
        <w:tc>
          <w:tcPr>
            <w:tcW w:w="1741" w:type="pct"/>
            <w:tcBorders>
              <w:top w:val="single" w:color="auto" w:sz="4" w:space="0"/>
              <w:left w:val="single" w:color="auto" w:sz="4" w:space="0"/>
              <w:bottom w:val="single" w:color="auto" w:sz="4" w:space="0"/>
              <w:right w:val="single" w:color="auto" w:sz="4" w:space="0"/>
            </w:tcBorders>
          </w:tcPr>
          <w:p w14:paraId="19E4B56F">
            <w:pPr>
              <w:pStyle w:val="80"/>
            </w:pPr>
          </w:p>
        </w:tc>
        <w:tc>
          <w:tcPr>
            <w:tcW w:w="986" w:type="pct"/>
            <w:tcBorders>
              <w:top w:val="single" w:color="auto" w:sz="4" w:space="0"/>
              <w:left w:val="single" w:color="auto" w:sz="4" w:space="0"/>
              <w:bottom w:val="single" w:color="auto" w:sz="4" w:space="0"/>
              <w:right w:val="single" w:color="auto" w:sz="4" w:space="0"/>
            </w:tcBorders>
          </w:tcPr>
          <w:p w14:paraId="76111466">
            <w:pPr>
              <w:pStyle w:val="80"/>
            </w:pPr>
          </w:p>
        </w:tc>
      </w:tr>
      <w:tr w14:paraId="7859D911">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27FDA163">
            <w:pPr>
              <w:pStyle w:val="83"/>
            </w:pPr>
          </w:p>
        </w:tc>
        <w:tc>
          <w:tcPr>
            <w:tcW w:w="750" w:type="pct"/>
            <w:tcBorders>
              <w:top w:val="single" w:color="auto" w:sz="4" w:space="0"/>
              <w:left w:val="single" w:color="auto" w:sz="4" w:space="0"/>
              <w:bottom w:val="single" w:color="auto" w:sz="4" w:space="0"/>
              <w:right w:val="single" w:color="auto" w:sz="4" w:space="0"/>
            </w:tcBorders>
          </w:tcPr>
          <w:p w14:paraId="48252A68">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54D8B0A5">
            <w:pPr>
              <w:pStyle w:val="80"/>
            </w:pPr>
          </w:p>
        </w:tc>
        <w:tc>
          <w:tcPr>
            <w:tcW w:w="1741" w:type="pct"/>
            <w:tcBorders>
              <w:top w:val="single" w:color="auto" w:sz="4" w:space="0"/>
              <w:left w:val="single" w:color="auto" w:sz="4" w:space="0"/>
              <w:bottom w:val="single" w:color="auto" w:sz="4" w:space="0"/>
              <w:right w:val="single" w:color="auto" w:sz="4" w:space="0"/>
            </w:tcBorders>
          </w:tcPr>
          <w:p w14:paraId="17FD941E">
            <w:pPr>
              <w:pStyle w:val="80"/>
            </w:pPr>
          </w:p>
        </w:tc>
        <w:tc>
          <w:tcPr>
            <w:tcW w:w="986" w:type="pct"/>
            <w:tcBorders>
              <w:top w:val="single" w:color="auto" w:sz="4" w:space="0"/>
              <w:left w:val="single" w:color="auto" w:sz="4" w:space="0"/>
              <w:bottom w:val="single" w:color="auto" w:sz="4" w:space="0"/>
              <w:right w:val="single" w:color="auto" w:sz="4" w:space="0"/>
            </w:tcBorders>
          </w:tcPr>
          <w:p w14:paraId="76280522">
            <w:pPr>
              <w:pStyle w:val="80"/>
            </w:pPr>
          </w:p>
        </w:tc>
      </w:tr>
      <w:tr w14:paraId="0458B3C7">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5EE30330">
            <w:pPr>
              <w:pStyle w:val="83"/>
            </w:pPr>
          </w:p>
        </w:tc>
        <w:tc>
          <w:tcPr>
            <w:tcW w:w="750" w:type="pct"/>
            <w:tcBorders>
              <w:top w:val="single" w:color="auto" w:sz="4" w:space="0"/>
              <w:left w:val="single" w:color="auto" w:sz="4" w:space="0"/>
              <w:bottom w:val="single" w:color="auto" w:sz="4" w:space="0"/>
              <w:right w:val="single" w:color="auto" w:sz="4" w:space="0"/>
            </w:tcBorders>
          </w:tcPr>
          <w:p w14:paraId="45FE3083">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4397F6E5">
            <w:pPr>
              <w:pStyle w:val="80"/>
            </w:pPr>
          </w:p>
        </w:tc>
        <w:tc>
          <w:tcPr>
            <w:tcW w:w="1741" w:type="pct"/>
            <w:tcBorders>
              <w:top w:val="single" w:color="auto" w:sz="4" w:space="0"/>
              <w:left w:val="single" w:color="auto" w:sz="4" w:space="0"/>
              <w:bottom w:val="single" w:color="auto" w:sz="4" w:space="0"/>
              <w:right w:val="single" w:color="auto" w:sz="4" w:space="0"/>
            </w:tcBorders>
          </w:tcPr>
          <w:p w14:paraId="37E778D9">
            <w:pPr>
              <w:pStyle w:val="80"/>
            </w:pPr>
          </w:p>
        </w:tc>
        <w:tc>
          <w:tcPr>
            <w:tcW w:w="986" w:type="pct"/>
            <w:tcBorders>
              <w:top w:val="single" w:color="auto" w:sz="4" w:space="0"/>
              <w:left w:val="single" w:color="auto" w:sz="4" w:space="0"/>
              <w:bottom w:val="single" w:color="auto" w:sz="4" w:space="0"/>
              <w:right w:val="single" w:color="auto" w:sz="4" w:space="0"/>
            </w:tcBorders>
          </w:tcPr>
          <w:p w14:paraId="4613E583">
            <w:pPr>
              <w:pStyle w:val="80"/>
            </w:pPr>
          </w:p>
        </w:tc>
      </w:tr>
      <w:tr w14:paraId="76374ABE">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7FACCE1F">
            <w:pPr>
              <w:pStyle w:val="83"/>
            </w:pPr>
          </w:p>
        </w:tc>
        <w:tc>
          <w:tcPr>
            <w:tcW w:w="750" w:type="pct"/>
            <w:tcBorders>
              <w:top w:val="single" w:color="auto" w:sz="4" w:space="0"/>
              <w:left w:val="single" w:color="auto" w:sz="4" w:space="0"/>
              <w:bottom w:val="single" w:color="auto" w:sz="4" w:space="0"/>
              <w:right w:val="single" w:color="auto" w:sz="4" w:space="0"/>
            </w:tcBorders>
          </w:tcPr>
          <w:p w14:paraId="236C76E5">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1319FDF2">
            <w:pPr>
              <w:pStyle w:val="80"/>
            </w:pPr>
          </w:p>
        </w:tc>
        <w:tc>
          <w:tcPr>
            <w:tcW w:w="1741" w:type="pct"/>
            <w:tcBorders>
              <w:top w:val="single" w:color="auto" w:sz="4" w:space="0"/>
              <w:left w:val="single" w:color="auto" w:sz="4" w:space="0"/>
              <w:bottom w:val="single" w:color="auto" w:sz="4" w:space="0"/>
              <w:right w:val="single" w:color="auto" w:sz="4" w:space="0"/>
            </w:tcBorders>
          </w:tcPr>
          <w:p w14:paraId="672FDCB7">
            <w:pPr>
              <w:pStyle w:val="80"/>
            </w:pPr>
          </w:p>
        </w:tc>
        <w:tc>
          <w:tcPr>
            <w:tcW w:w="986" w:type="pct"/>
            <w:tcBorders>
              <w:top w:val="single" w:color="auto" w:sz="4" w:space="0"/>
              <w:left w:val="single" w:color="auto" w:sz="4" w:space="0"/>
              <w:bottom w:val="single" w:color="auto" w:sz="4" w:space="0"/>
              <w:right w:val="single" w:color="auto" w:sz="4" w:space="0"/>
            </w:tcBorders>
          </w:tcPr>
          <w:p w14:paraId="32335457">
            <w:pPr>
              <w:pStyle w:val="80"/>
            </w:pPr>
          </w:p>
        </w:tc>
      </w:tr>
      <w:tr w14:paraId="6616B201">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10A4F260">
            <w:pPr>
              <w:pStyle w:val="83"/>
            </w:pPr>
          </w:p>
        </w:tc>
        <w:tc>
          <w:tcPr>
            <w:tcW w:w="750" w:type="pct"/>
            <w:tcBorders>
              <w:top w:val="single" w:color="auto" w:sz="4" w:space="0"/>
              <w:left w:val="single" w:color="auto" w:sz="4" w:space="0"/>
              <w:bottom w:val="single" w:color="auto" w:sz="4" w:space="0"/>
              <w:right w:val="single" w:color="auto" w:sz="4" w:space="0"/>
            </w:tcBorders>
          </w:tcPr>
          <w:p w14:paraId="22F30599">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602A8550">
            <w:pPr>
              <w:pStyle w:val="80"/>
            </w:pPr>
          </w:p>
        </w:tc>
        <w:tc>
          <w:tcPr>
            <w:tcW w:w="1741" w:type="pct"/>
            <w:tcBorders>
              <w:top w:val="single" w:color="auto" w:sz="4" w:space="0"/>
              <w:left w:val="single" w:color="auto" w:sz="4" w:space="0"/>
              <w:bottom w:val="single" w:color="auto" w:sz="4" w:space="0"/>
              <w:right w:val="single" w:color="auto" w:sz="4" w:space="0"/>
            </w:tcBorders>
          </w:tcPr>
          <w:p w14:paraId="5A4939E2">
            <w:pPr>
              <w:pStyle w:val="80"/>
            </w:pPr>
          </w:p>
        </w:tc>
        <w:tc>
          <w:tcPr>
            <w:tcW w:w="986" w:type="pct"/>
            <w:tcBorders>
              <w:top w:val="single" w:color="auto" w:sz="4" w:space="0"/>
              <w:left w:val="single" w:color="auto" w:sz="4" w:space="0"/>
              <w:bottom w:val="single" w:color="auto" w:sz="4" w:space="0"/>
              <w:right w:val="single" w:color="auto" w:sz="4" w:space="0"/>
            </w:tcBorders>
          </w:tcPr>
          <w:p w14:paraId="463E7B8D">
            <w:pPr>
              <w:pStyle w:val="80"/>
            </w:pPr>
          </w:p>
        </w:tc>
      </w:tr>
      <w:tr w14:paraId="179DC34C">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1F1E342F">
            <w:pPr>
              <w:pStyle w:val="83"/>
            </w:pPr>
          </w:p>
        </w:tc>
        <w:tc>
          <w:tcPr>
            <w:tcW w:w="750" w:type="pct"/>
            <w:tcBorders>
              <w:top w:val="single" w:color="auto" w:sz="4" w:space="0"/>
              <w:left w:val="single" w:color="auto" w:sz="4" w:space="0"/>
              <w:bottom w:val="single" w:color="auto" w:sz="4" w:space="0"/>
              <w:right w:val="single" w:color="auto" w:sz="4" w:space="0"/>
            </w:tcBorders>
          </w:tcPr>
          <w:p w14:paraId="64C4AA91">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67D05F0E">
            <w:pPr>
              <w:pStyle w:val="80"/>
            </w:pPr>
          </w:p>
        </w:tc>
        <w:tc>
          <w:tcPr>
            <w:tcW w:w="1741" w:type="pct"/>
            <w:tcBorders>
              <w:top w:val="single" w:color="auto" w:sz="4" w:space="0"/>
              <w:left w:val="single" w:color="auto" w:sz="4" w:space="0"/>
              <w:bottom w:val="single" w:color="auto" w:sz="4" w:space="0"/>
              <w:right w:val="single" w:color="auto" w:sz="4" w:space="0"/>
            </w:tcBorders>
          </w:tcPr>
          <w:p w14:paraId="3FDB88E2">
            <w:pPr>
              <w:pStyle w:val="80"/>
            </w:pPr>
          </w:p>
        </w:tc>
        <w:tc>
          <w:tcPr>
            <w:tcW w:w="986" w:type="pct"/>
            <w:tcBorders>
              <w:top w:val="single" w:color="auto" w:sz="4" w:space="0"/>
              <w:left w:val="single" w:color="auto" w:sz="4" w:space="0"/>
              <w:bottom w:val="single" w:color="auto" w:sz="4" w:space="0"/>
              <w:right w:val="single" w:color="auto" w:sz="4" w:space="0"/>
            </w:tcBorders>
          </w:tcPr>
          <w:p w14:paraId="641F160C">
            <w:pPr>
              <w:pStyle w:val="80"/>
            </w:pPr>
          </w:p>
        </w:tc>
      </w:tr>
      <w:tr w14:paraId="1340BD0A">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08C40168">
            <w:pPr>
              <w:pStyle w:val="83"/>
            </w:pPr>
          </w:p>
        </w:tc>
        <w:tc>
          <w:tcPr>
            <w:tcW w:w="750" w:type="pct"/>
            <w:tcBorders>
              <w:top w:val="single" w:color="auto" w:sz="4" w:space="0"/>
              <w:left w:val="single" w:color="auto" w:sz="4" w:space="0"/>
              <w:bottom w:val="single" w:color="auto" w:sz="4" w:space="0"/>
              <w:right w:val="single" w:color="auto" w:sz="4" w:space="0"/>
            </w:tcBorders>
          </w:tcPr>
          <w:p w14:paraId="6276958C">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7A54007C">
            <w:pPr>
              <w:pStyle w:val="80"/>
            </w:pPr>
          </w:p>
        </w:tc>
        <w:tc>
          <w:tcPr>
            <w:tcW w:w="1741" w:type="pct"/>
            <w:tcBorders>
              <w:top w:val="single" w:color="auto" w:sz="4" w:space="0"/>
              <w:left w:val="single" w:color="auto" w:sz="4" w:space="0"/>
              <w:bottom w:val="single" w:color="auto" w:sz="4" w:space="0"/>
              <w:right w:val="single" w:color="auto" w:sz="4" w:space="0"/>
            </w:tcBorders>
          </w:tcPr>
          <w:p w14:paraId="03A39315">
            <w:pPr>
              <w:pStyle w:val="80"/>
            </w:pPr>
          </w:p>
        </w:tc>
        <w:tc>
          <w:tcPr>
            <w:tcW w:w="986" w:type="pct"/>
            <w:tcBorders>
              <w:top w:val="single" w:color="auto" w:sz="4" w:space="0"/>
              <w:left w:val="single" w:color="auto" w:sz="4" w:space="0"/>
              <w:bottom w:val="single" w:color="auto" w:sz="4" w:space="0"/>
              <w:right w:val="single" w:color="auto" w:sz="4" w:space="0"/>
            </w:tcBorders>
          </w:tcPr>
          <w:p w14:paraId="354E2DD3">
            <w:pPr>
              <w:pStyle w:val="80"/>
            </w:pPr>
          </w:p>
        </w:tc>
      </w:tr>
      <w:tr w14:paraId="3152213E">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22F95D47">
            <w:pPr>
              <w:pStyle w:val="83"/>
            </w:pPr>
          </w:p>
        </w:tc>
        <w:tc>
          <w:tcPr>
            <w:tcW w:w="750" w:type="pct"/>
            <w:tcBorders>
              <w:top w:val="single" w:color="auto" w:sz="4" w:space="0"/>
              <w:left w:val="single" w:color="auto" w:sz="4" w:space="0"/>
              <w:bottom w:val="single" w:color="auto" w:sz="4" w:space="0"/>
              <w:right w:val="single" w:color="auto" w:sz="4" w:space="0"/>
            </w:tcBorders>
          </w:tcPr>
          <w:p w14:paraId="537C2703">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5CF17D19">
            <w:pPr>
              <w:pStyle w:val="80"/>
            </w:pPr>
          </w:p>
        </w:tc>
        <w:tc>
          <w:tcPr>
            <w:tcW w:w="1741" w:type="pct"/>
            <w:tcBorders>
              <w:top w:val="single" w:color="auto" w:sz="4" w:space="0"/>
              <w:left w:val="single" w:color="auto" w:sz="4" w:space="0"/>
              <w:bottom w:val="single" w:color="auto" w:sz="4" w:space="0"/>
              <w:right w:val="single" w:color="auto" w:sz="4" w:space="0"/>
            </w:tcBorders>
          </w:tcPr>
          <w:p w14:paraId="37590E36">
            <w:pPr>
              <w:pStyle w:val="80"/>
            </w:pPr>
          </w:p>
        </w:tc>
        <w:tc>
          <w:tcPr>
            <w:tcW w:w="986" w:type="pct"/>
            <w:tcBorders>
              <w:top w:val="single" w:color="auto" w:sz="4" w:space="0"/>
              <w:left w:val="single" w:color="auto" w:sz="4" w:space="0"/>
              <w:bottom w:val="single" w:color="auto" w:sz="4" w:space="0"/>
              <w:right w:val="single" w:color="auto" w:sz="4" w:space="0"/>
            </w:tcBorders>
          </w:tcPr>
          <w:p w14:paraId="6E82F732">
            <w:pPr>
              <w:pStyle w:val="80"/>
            </w:pPr>
          </w:p>
        </w:tc>
      </w:tr>
      <w:tr w14:paraId="2022A58B">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7999AA99">
            <w:pPr>
              <w:pStyle w:val="83"/>
            </w:pPr>
          </w:p>
        </w:tc>
        <w:tc>
          <w:tcPr>
            <w:tcW w:w="750" w:type="pct"/>
            <w:tcBorders>
              <w:top w:val="single" w:color="auto" w:sz="4" w:space="0"/>
              <w:left w:val="single" w:color="auto" w:sz="4" w:space="0"/>
              <w:bottom w:val="single" w:color="auto" w:sz="4" w:space="0"/>
              <w:right w:val="single" w:color="auto" w:sz="4" w:space="0"/>
            </w:tcBorders>
          </w:tcPr>
          <w:p w14:paraId="17329B55">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0B7DC727">
            <w:pPr>
              <w:pStyle w:val="80"/>
            </w:pPr>
          </w:p>
        </w:tc>
        <w:tc>
          <w:tcPr>
            <w:tcW w:w="1741" w:type="pct"/>
            <w:tcBorders>
              <w:top w:val="single" w:color="auto" w:sz="4" w:space="0"/>
              <w:left w:val="single" w:color="auto" w:sz="4" w:space="0"/>
              <w:bottom w:val="single" w:color="auto" w:sz="4" w:space="0"/>
              <w:right w:val="single" w:color="auto" w:sz="4" w:space="0"/>
            </w:tcBorders>
          </w:tcPr>
          <w:p w14:paraId="734DCA47">
            <w:pPr>
              <w:pStyle w:val="80"/>
            </w:pPr>
          </w:p>
        </w:tc>
        <w:tc>
          <w:tcPr>
            <w:tcW w:w="986" w:type="pct"/>
            <w:tcBorders>
              <w:top w:val="single" w:color="auto" w:sz="4" w:space="0"/>
              <w:left w:val="single" w:color="auto" w:sz="4" w:space="0"/>
              <w:bottom w:val="single" w:color="auto" w:sz="4" w:space="0"/>
              <w:right w:val="single" w:color="auto" w:sz="4" w:space="0"/>
            </w:tcBorders>
          </w:tcPr>
          <w:p w14:paraId="0A55FEF5">
            <w:pPr>
              <w:pStyle w:val="80"/>
            </w:pPr>
          </w:p>
        </w:tc>
      </w:tr>
      <w:tr w14:paraId="6615CB9A">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03F7EDEA">
            <w:pPr>
              <w:pStyle w:val="83"/>
            </w:pPr>
          </w:p>
        </w:tc>
        <w:tc>
          <w:tcPr>
            <w:tcW w:w="750" w:type="pct"/>
            <w:tcBorders>
              <w:top w:val="single" w:color="auto" w:sz="4" w:space="0"/>
              <w:left w:val="single" w:color="auto" w:sz="4" w:space="0"/>
              <w:bottom w:val="single" w:color="auto" w:sz="4" w:space="0"/>
              <w:right w:val="single" w:color="auto" w:sz="4" w:space="0"/>
            </w:tcBorders>
          </w:tcPr>
          <w:p w14:paraId="596ED517">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0BF1BE35">
            <w:pPr>
              <w:pStyle w:val="80"/>
            </w:pPr>
          </w:p>
        </w:tc>
        <w:tc>
          <w:tcPr>
            <w:tcW w:w="1741" w:type="pct"/>
            <w:tcBorders>
              <w:top w:val="single" w:color="auto" w:sz="4" w:space="0"/>
              <w:left w:val="single" w:color="auto" w:sz="4" w:space="0"/>
              <w:bottom w:val="single" w:color="auto" w:sz="4" w:space="0"/>
              <w:right w:val="single" w:color="auto" w:sz="4" w:space="0"/>
            </w:tcBorders>
          </w:tcPr>
          <w:p w14:paraId="541AAB7A">
            <w:pPr>
              <w:pStyle w:val="80"/>
            </w:pPr>
          </w:p>
        </w:tc>
        <w:tc>
          <w:tcPr>
            <w:tcW w:w="986" w:type="pct"/>
            <w:tcBorders>
              <w:top w:val="single" w:color="auto" w:sz="4" w:space="0"/>
              <w:left w:val="single" w:color="auto" w:sz="4" w:space="0"/>
              <w:bottom w:val="single" w:color="auto" w:sz="4" w:space="0"/>
              <w:right w:val="single" w:color="auto" w:sz="4" w:space="0"/>
            </w:tcBorders>
          </w:tcPr>
          <w:p w14:paraId="1E315851">
            <w:pPr>
              <w:pStyle w:val="80"/>
            </w:pPr>
          </w:p>
        </w:tc>
      </w:tr>
      <w:tr w14:paraId="0AF45B94">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49CE3636">
            <w:pPr>
              <w:pStyle w:val="83"/>
            </w:pPr>
          </w:p>
        </w:tc>
        <w:tc>
          <w:tcPr>
            <w:tcW w:w="750" w:type="pct"/>
            <w:tcBorders>
              <w:top w:val="single" w:color="auto" w:sz="4" w:space="0"/>
              <w:left w:val="single" w:color="auto" w:sz="4" w:space="0"/>
              <w:bottom w:val="single" w:color="auto" w:sz="4" w:space="0"/>
              <w:right w:val="single" w:color="auto" w:sz="4" w:space="0"/>
            </w:tcBorders>
          </w:tcPr>
          <w:p w14:paraId="07028E1C">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08128F82">
            <w:pPr>
              <w:pStyle w:val="80"/>
            </w:pPr>
          </w:p>
        </w:tc>
        <w:tc>
          <w:tcPr>
            <w:tcW w:w="1741" w:type="pct"/>
            <w:tcBorders>
              <w:top w:val="single" w:color="auto" w:sz="4" w:space="0"/>
              <w:left w:val="single" w:color="auto" w:sz="4" w:space="0"/>
              <w:bottom w:val="single" w:color="auto" w:sz="4" w:space="0"/>
              <w:right w:val="single" w:color="auto" w:sz="4" w:space="0"/>
            </w:tcBorders>
          </w:tcPr>
          <w:p w14:paraId="4B181EB4">
            <w:pPr>
              <w:pStyle w:val="80"/>
            </w:pPr>
          </w:p>
        </w:tc>
        <w:tc>
          <w:tcPr>
            <w:tcW w:w="986" w:type="pct"/>
            <w:tcBorders>
              <w:top w:val="single" w:color="auto" w:sz="4" w:space="0"/>
              <w:left w:val="single" w:color="auto" w:sz="4" w:space="0"/>
              <w:bottom w:val="single" w:color="auto" w:sz="4" w:space="0"/>
              <w:right w:val="single" w:color="auto" w:sz="4" w:space="0"/>
            </w:tcBorders>
          </w:tcPr>
          <w:p w14:paraId="775ECD3C">
            <w:pPr>
              <w:pStyle w:val="80"/>
            </w:pPr>
          </w:p>
        </w:tc>
      </w:tr>
      <w:tr w14:paraId="511399AB">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021E31A0">
            <w:pPr>
              <w:pStyle w:val="83"/>
            </w:pPr>
          </w:p>
        </w:tc>
        <w:tc>
          <w:tcPr>
            <w:tcW w:w="750" w:type="pct"/>
            <w:tcBorders>
              <w:top w:val="single" w:color="auto" w:sz="4" w:space="0"/>
              <w:left w:val="single" w:color="auto" w:sz="4" w:space="0"/>
              <w:bottom w:val="single" w:color="auto" w:sz="4" w:space="0"/>
              <w:right w:val="single" w:color="auto" w:sz="4" w:space="0"/>
            </w:tcBorders>
          </w:tcPr>
          <w:p w14:paraId="5B6276B4">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6B70BE58">
            <w:pPr>
              <w:pStyle w:val="80"/>
            </w:pPr>
          </w:p>
        </w:tc>
        <w:tc>
          <w:tcPr>
            <w:tcW w:w="1741" w:type="pct"/>
            <w:tcBorders>
              <w:top w:val="single" w:color="auto" w:sz="4" w:space="0"/>
              <w:left w:val="single" w:color="auto" w:sz="4" w:space="0"/>
              <w:bottom w:val="single" w:color="auto" w:sz="4" w:space="0"/>
              <w:right w:val="single" w:color="auto" w:sz="4" w:space="0"/>
            </w:tcBorders>
          </w:tcPr>
          <w:p w14:paraId="5F43167A">
            <w:pPr>
              <w:pStyle w:val="80"/>
            </w:pPr>
          </w:p>
        </w:tc>
        <w:tc>
          <w:tcPr>
            <w:tcW w:w="986" w:type="pct"/>
            <w:tcBorders>
              <w:top w:val="single" w:color="auto" w:sz="4" w:space="0"/>
              <w:left w:val="single" w:color="auto" w:sz="4" w:space="0"/>
              <w:bottom w:val="single" w:color="auto" w:sz="4" w:space="0"/>
              <w:right w:val="single" w:color="auto" w:sz="4" w:space="0"/>
            </w:tcBorders>
          </w:tcPr>
          <w:p w14:paraId="2BC21E5D">
            <w:pPr>
              <w:pStyle w:val="80"/>
            </w:pPr>
          </w:p>
        </w:tc>
      </w:tr>
      <w:tr w14:paraId="566E045F">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6317ABA7">
            <w:pPr>
              <w:pStyle w:val="83"/>
            </w:pPr>
          </w:p>
        </w:tc>
        <w:tc>
          <w:tcPr>
            <w:tcW w:w="750" w:type="pct"/>
            <w:tcBorders>
              <w:top w:val="single" w:color="auto" w:sz="4" w:space="0"/>
              <w:left w:val="single" w:color="auto" w:sz="4" w:space="0"/>
              <w:bottom w:val="single" w:color="auto" w:sz="4" w:space="0"/>
              <w:right w:val="single" w:color="auto" w:sz="4" w:space="0"/>
            </w:tcBorders>
          </w:tcPr>
          <w:p w14:paraId="1E211B03">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7715F770">
            <w:pPr>
              <w:pStyle w:val="80"/>
            </w:pPr>
          </w:p>
        </w:tc>
        <w:tc>
          <w:tcPr>
            <w:tcW w:w="1741" w:type="pct"/>
            <w:tcBorders>
              <w:top w:val="single" w:color="auto" w:sz="4" w:space="0"/>
              <w:left w:val="single" w:color="auto" w:sz="4" w:space="0"/>
              <w:bottom w:val="single" w:color="auto" w:sz="4" w:space="0"/>
              <w:right w:val="single" w:color="auto" w:sz="4" w:space="0"/>
            </w:tcBorders>
          </w:tcPr>
          <w:p w14:paraId="20C26A1E">
            <w:pPr>
              <w:pStyle w:val="80"/>
            </w:pPr>
          </w:p>
        </w:tc>
        <w:tc>
          <w:tcPr>
            <w:tcW w:w="986" w:type="pct"/>
            <w:tcBorders>
              <w:top w:val="single" w:color="auto" w:sz="4" w:space="0"/>
              <w:left w:val="single" w:color="auto" w:sz="4" w:space="0"/>
              <w:bottom w:val="single" w:color="auto" w:sz="4" w:space="0"/>
              <w:right w:val="single" w:color="auto" w:sz="4" w:space="0"/>
            </w:tcBorders>
          </w:tcPr>
          <w:p w14:paraId="5D6DC010">
            <w:pPr>
              <w:pStyle w:val="80"/>
            </w:pPr>
          </w:p>
        </w:tc>
      </w:tr>
      <w:tr w14:paraId="4A915268">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2C26F949">
            <w:pPr>
              <w:pStyle w:val="83"/>
            </w:pPr>
          </w:p>
        </w:tc>
        <w:tc>
          <w:tcPr>
            <w:tcW w:w="750" w:type="pct"/>
            <w:tcBorders>
              <w:top w:val="single" w:color="auto" w:sz="4" w:space="0"/>
              <w:left w:val="single" w:color="auto" w:sz="4" w:space="0"/>
              <w:bottom w:val="single" w:color="auto" w:sz="4" w:space="0"/>
              <w:right w:val="single" w:color="auto" w:sz="4" w:space="0"/>
            </w:tcBorders>
          </w:tcPr>
          <w:p w14:paraId="6E363D42">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31D901B7">
            <w:pPr>
              <w:pStyle w:val="80"/>
            </w:pPr>
          </w:p>
        </w:tc>
        <w:tc>
          <w:tcPr>
            <w:tcW w:w="1741" w:type="pct"/>
            <w:tcBorders>
              <w:top w:val="single" w:color="auto" w:sz="4" w:space="0"/>
              <w:left w:val="single" w:color="auto" w:sz="4" w:space="0"/>
              <w:bottom w:val="single" w:color="auto" w:sz="4" w:space="0"/>
              <w:right w:val="single" w:color="auto" w:sz="4" w:space="0"/>
            </w:tcBorders>
          </w:tcPr>
          <w:p w14:paraId="6D23A351">
            <w:pPr>
              <w:pStyle w:val="80"/>
            </w:pPr>
          </w:p>
        </w:tc>
        <w:tc>
          <w:tcPr>
            <w:tcW w:w="986" w:type="pct"/>
            <w:tcBorders>
              <w:top w:val="single" w:color="auto" w:sz="4" w:space="0"/>
              <w:left w:val="single" w:color="auto" w:sz="4" w:space="0"/>
              <w:bottom w:val="single" w:color="auto" w:sz="4" w:space="0"/>
              <w:right w:val="single" w:color="auto" w:sz="4" w:space="0"/>
            </w:tcBorders>
          </w:tcPr>
          <w:p w14:paraId="0B3D5277">
            <w:pPr>
              <w:pStyle w:val="80"/>
            </w:pPr>
          </w:p>
        </w:tc>
      </w:tr>
      <w:tr w14:paraId="21EC6166">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302" w:type="pct"/>
            <w:tcBorders>
              <w:top w:val="single" w:color="auto" w:sz="4" w:space="0"/>
              <w:left w:val="single" w:color="auto" w:sz="4" w:space="0"/>
              <w:bottom w:val="single" w:color="auto" w:sz="4" w:space="0"/>
              <w:right w:val="single" w:color="auto" w:sz="4" w:space="0"/>
            </w:tcBorders>
          </w:tcPr>
          <w:p w14:paraId="4EF00B2C">
            <w:pPr>
              <w:pStyle w:val="83"/>
            </w:pPr>
          </w:p>
        </w:tc>
        <w:tc>
          <w:tcPr>
            <w:tcW w:w="750" w:type="pct"/>
            <w:tcBorders>
              <w:top w:val="single" w:color="auto" w:sz="4" w:space="0"/>
              <w:left w:val="single" w:color="auto" w:sz="4" w:space="0"/>
              <w:bottom w:val="single" w:color="auto" w:sz="4" w:space="0"/>
              <w:right w:val="single" w:color="auto" w:sz="4" w:space="0"/>
            </w:tcBorders>
          </w:tcPr>
          <w:p w14:paraId="69E98773">
            <w:pPr>
              <w:pStyle w:val="80"/>
              <w:rPr>
                <w:szCs w:val="22"/>
              </w:rPr>
            </w:pPr>
          </w:p>
        </w:tc>
        <w:tc>
          <w:tcPr>
            <w:tcW w:w="1221" w:type="pct"/>
            <w:tcBorders>
              <w:top w:val="single" w:color="auto" w:sz="4" w:space="0"/>
              <w:left w:val="single" w:color="auto" w:sz="4" w:space="0"/>
              <w:bottom w:val="single" w:color="auto" w:sz="4" w:space="0"/>
              <w:right w:val="single" w:color="auto" w:sz="4" w:space="0"/>
            </w:tcBorders>
          </w:tcPr>
          <w:p w14:paraId="3EFE3945">
            <w:pPr>
              <w:pStyle w:val="80"/>
            </w:pPr>
          </w:p>
        </w:tc>
        <w:tc>
          <w:tcPr>
            <w:tcW w:w="1741" w:type="pct"/>
            <w:tcBorders>
              <w:top w:val="single" w:color="auto" w:sz="4" w:space="0"/>
              <w:left w:val="single" w:color="auto" w:sz="4" w:space="0"/>
              <w:bottom w:val="single" w:color="auto" w:sz="4" w:space="0"/>
              <w:right w:val="single" w:color="auto" w:sz="4" w:space="0"/>
            </w:tcBorders>
          </w:tcPr>
          <w:p w14:paraId="39E7D486">
            <w:pPr>
              <w:pStyle w:val="80"/>
            </w:pPr>
          </w:p>
        </w:tc>
        <w:tc>
          <w:tcPr>
            <w:tcW w:w="986" w:type="pct"/>
            <w:tcBorders>
              <w:top w:val="single" w:color="auto" w:sz="4" w:space="0"/>
              <w:left w:val="single" w:color="auto" w:sz="4" w:space="0"/>
              <w:bottom w:val="single" w:color="auto" w:sz="4" w:space="0"/>
              <w:right w:val="single" w:color="auto" w:sz="4" w:space="0"/>
            </w:tcBorders>
          </w:tcPr>
          <w:p w14:paraId="0DD0E4F6">
            <w:pPr>
              <w:pStyle w:val="80"/>
            </w:pPr>
          </w:p>
        </w:tc>
      </w:tr>
    </w:tbl>
    <w:p w14:paraId="4264DD1F">
      <w:pPr>
        <w:pStyle w:val="69"/>
        <w:rPr>
          <w:lang w:val="en-US"/>
        </w:rPr>
      </w:pPr>
    </w:p>
    <w:sectPr>
      <w:headerReference r:id="rId9" w:type="first"/>
      <w:headerReference r:id="rId8" w:type="default"/>
      <w:footnotePr>
        <w:numRestart w:val="eachPage"/>
      </w:footnotePr>
      <w:pgSz w:w="11906" w:h="16838"/>
      <w:pgMar w:top="1134" w:right="851" w:bottom="1134" w:left="1418" w:header="567" w:footer="397" w:gutter="0"/>
      <w:pgNumType w:start="2"/>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SimHei">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Unicode MS">
    <w:altName w:val="Arial"/>
    <w:panose1 w:val="020B0604020202020204"/>
    <w:charset w:val="80"/>
    <w:family w:val="swiss"/>
    <w:pitch w:val="default"/>
    <w:sig w:usb0="00000000" w:usb1="00000000" w:usb2="0000003F" w:usb3="00000000" w:csb0="003F01FF" w:csb1="00000000"/>
  </w:font>
  <w:font w:name="Symbol">
    <w:panose1 w:val="05050102010706020507"/>
    <w:charset w:val="02"/>
    <w:family w:val="roman"/>
    <w:pitch w:val="default"/>
    <w:sig w:usb0="00000000" w:usb1="00000000" w:usb2="00000000" w:usb3="00000000" w:csb0="80000000" w:csb1="00000000"/>
  </w:font>
  <w:font w:name="Courier New">
    <w:panose1 w:val="02070309020205020404"/>
    <w:charset w:val="CC"/>
    <w:family w:val="modern"/>
    <w:pitch w:val="default"/>
    <w:sig w:usb0="E0002EFF" w:usb1="C0007843" w:usb2="00000009" w:usb3="00000000" w:csb0="400001FF" w:csb1="FFFF0000"/>
  </w:font>
  <w:font w:name="PT Astra Serif">
    <w:panose1 w:val="020A0603040505020204"/>
    <w:charset w:val="CC"/>
    <w:family w:val="roman"/>
    <w:pitch w:val="default"/>
    <w:sig w:usb0="A00002EF" w:usb1="5000204B" w:usb2="00000020" w:usb3="00000000" w:csb0="20000097" w:csb1="00000000"/>
  </w:font>
  <w:font w:name="Bookman Old Style">
    <w:panose1 w:val="02050604050505020204"/>
    <w:charset w:val="CC"/>
    <w:family w:val="roman"/>
    <w:pitch w:val="default"/>
    <w:sig w:usb0="00000287" w:usb1="00000000" w:usb2="00000000" w:usb3="00000000" w:csb0="2000009F" w:csb1="DFD70000"/>
  </w:font>
  <w:font w:name="Calibri">
    <w:panose1 w:val="020F0502020204030204"/>
    <w:charset w:val="CC"/>
    <w:family w:val="swiss"/>
    <w:pitch w:val="default"/>
    <w:sig w:usb0="E4002EFF" w:usb1="C200247B" w:usb2="00000009" w:usb3="00000000" w:csb0="200001FF" w:csb1="00000000"/>
  </w:font>
  <w:font w:name="Calibri Light">
    <w:panose1 w:val="020F0302020204030204"/>
    <w:charset w:val="CC"/>
    <w:family w:val="swiss"/>
    <w:pitch w:val="default"/>
    <w:sig w:usb0="E4002EFF" w:usb1="C200247B" w:usb2="00000009" w:usb3="00000000" w:csb0="200001FF" w:csb1="00000000"/>
  </w:font>
  <w:font w:name="DengXian Light">
    <w:panose1 w:val="02010600030101010101"/>
    <w:charset w:val="86"/>
    <w:family w:val="auto"/>
    <w:pitch w:val="default"/>
    <w:sig w:usb0="A00002BF" w:usb1="38CF7CFA" w:usb2="00000016" w:usb3="00000000" w:csb0="0004000F" w:csb1="00000000"/>
  </w:font>
  <w:font w:name="DengXian">
    <w:panose1 w:val="02010600030101010101"/>
    <w:charset w:val="86"/>
    <w:family w:val="auto"/>
    <w:pitch w:val="default"/>
    <w:sig w:usb0="A00002BF" w:usb1="38CF7CFA" w:usb2="00000016" w:usb3="00000000" w:csb0="0004000F"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34"/>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250"/>
      <w:gridCol w:w="1740"/>
      <w:gridCol w:w="752"/>
    </w:tblGrid>
    <w:tr w14:paraId="0B60B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3721" w:type="pct"/>
          <w:vAlign w:val="center"/>
        </w:tcPr>
        <w:p w14:paraId="6C4DC538">
          <w:pPr>
            <w:pStyle w:val="80"/>
          </w:pPr>
          <w:bookmarkStart w:id="3128" w:name="_Hlk147487618"/>
          <w:r>
            <w:t>ФПУМП. Руководство пользователя. АРМ сотрудника ТФОМС</w:t>
          </w:r>
        </w:p>
      </w:tc>
      <w:sdt>
        <w:sdtPr>
          <w:alias w:val="Аннотация"/>
          <w:id w:val="2102140366"/>
          <w:placeholder>
            <w:docPart w:val="5AD3AD4F1CB8429182FD133838D9C9A1"/>
          </w:placeholder>
          <w:dataBinding w:prefixMappings="xmlns:ns0='http://schemas.microsoft.com/office/2006/coverPageProps' " w:xpath="/ns0:CoverPageProperties[1]/ns0:Abstract[1]" w:storeItemID="{55AF091B-3C7A-41E3-B477-F2FDAA23CFDA}"/>
          <w:text/>
        </w:sdtPr>
        <w:sdtContent>
          <w:tc>
            <w:tcPr>
              <w:tcW w:w="893" w:type="pct"/>
              <w:vAlign w:val="center"/>
            </w:tcPr>
            <w:p w14:paraId="7E93EC2D">
              <w:pPr>
                <w:pStyle w:val="83"/>
              </w:pPr>
              <w:r>
                <w:t>версия 4.01</w:t>
              </w:r>
            </w:p>
          </w:tc>
        </w:sdtContent>
      </w:sdt>
      <w:tc>
        <w:tcPr>
          <w:tcW w:w="386" w:type="pct"/>
          <w:vAlign w:val="center"/>
        </w:tcPr>
        <w:p w14:paraId="0BD87DDA">
          <w:pPr>
            <w:pStyle w:val="81"/>
          </w:pPr>
          <w:r>
            <w:fldChar w:fldCharType="begin"/>
          </w:r>
          <w:r>
            <w:instrText xml:space="preserve">PAGE   \* MERGEFORMAT</w:instrText>
          </w:r>
          <w:r>
            <w:fldChar w:fldCharType="separate"/>
          </w:r>
          <w:r>
            <w:t>3</w:t>
          </w:r>
          <w:r>
            <w:fldChar w:fldCharType="end"/>
          </w:r>
        </w:p>
      </w:tc>
    </w:tr>
    <w:bookmarkEnd w:id="3128"/>
  </w:tbl>
  <w:p w14:paraId="089B0CE6">
    <w:pPr>
      <w:pStyle w:val="6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12">
    <w:p>
      <w:pPr>
        <w:spacing w:line="276" w:lineRule="auto"/>
      </w:pPr>
      <w:r>
        <w:separator/>
      </w:r>
    </w:p>
  </w:footnote>
  <w:footnote w:type="continuationSeparator" w:id="13">
    <w:p>
      <w:pPr>
        <w:spacing w:line="276" w:lineRule="auto"/>
      </w:pPr>
      <w:r>
        <w:continuationSeparator/>
      </w:r>
    </w:p>
  </w:footnote>
  <w:footnote w:id="0">
    <w:p w14:paraId="78F16B21">
      <w:pPr>
        <w:pStyle w:val="41"/>
      </w:pPr>
      <w:r>
        <w:rPr>
          <w:rStyle w:val="13"/>
        </w:rPr>
        <w:footnoteRef/>
      </w:r>
      <w:r>
        <w:t xml:space="preserve"> Данные учетной записи IAM ЕЦП «ГосТех» (при необходимости) и адрес ФПУМП предоставляются ответственным сотрудником ФОМС</w:t>
      </w:r>
    </w:p>
  </w:footnote>
  <w:footnote w:id="1">
    <w:p w14:paraId="70B9665A">
      <w:pPr>
        <w:pStyle w:val="41"/>
      </w:pPr>
      <w:r>
        <w:rPr>
          <w:rStyle w:val="13"/>
        </w:rPr>
        <w:footnoteRef/>
      </w:r>
      <w:r>
        <w:t xml:space="preserve"> Приложение к приказу Министерства здравоохранения Российской Федерации от 28 февраля 2019 г. № 108н «Об утверждении Правил обязательного медицинского страхования».</w:t>
      </w:r>
    </w:p>
  </w:footnote>
  <w:footnote w:id="2">
    <w:p w14:paraId="0DBD02FA">
      <w:pPr>
        <w:pStyle w:val="110"/>
      </w:pPr>
      <w:r>
        <w:rPr>
          <w:rStyle w:val="13"/>
        </w:rPr>
        <w:footnoteRef/>
      </w:r>
      <w:r>
        <w:t xml:space="preserve"> </w:t>
      </w:r>
      <w:bookmarkStart w:id="3125" w:name="_Hlk150514681"/>
      <w:r>
        <w:t>По форме приложения 9 к Приказу Федерального фонда обязательного медицинского страхования от 10.09.2022 № 120н.</w:t>
      </w:r>
      <w:bookmarkEnd w:id="3125"/>
    </w:p>
  </w:footnote>
  <w:footnote w:id="3">
    <w:p w14:paraId="2727EF3D">
      <w:pPr>
        <w:pStyle w:val="110"/>
      </w:pPr>
      <w:r>
        <w:rPr>
          <w:rStyle w:val="13"/>
        </w:rPr>
        <w:footnoteRef/>
      </w:r>
      <w:r>
        <w:t xml:space="preserve"> По форме приложения 2 и приложения 3 к Приказу Федерального фонда обязательного медицинского страхования от 10.09.2022 № 120н.</w:t>
      </w:r>
    </w:p>
  </w:footnote>
  <w:footnote w:id="4">
    <w:p w14:paraId="0502BE76">
      <w:pPr>
        <w:pStyle w:val="41"/>
      </w:pPr>
      <w:r>
        <w:rPr>
          <w:rStyle w:val="13"/>
        </w:rPr>
        <w:footnoteRef/>
      </w:r>
      <w:r>
        <w:t xml:space="preserve"> По форме приложения 2 и приложения 3 к Приказу Федерального фонда обязательного медицинского страхования от 10.09.2022 № 120н.</w:t>
      </w:r>
    </w:p>
  </w:footnote>
  <w:footnote w:id="5">
    <w:p w14:paraId="771CF9DA">
      <w:pPr>
        <w:pStyle w:val="41"/>
      </w:pPr>
      <w:r>
        <w:rPr>
          <w:rStyle w:val="13"/>
        </w:rPr>
        <w:footnoteRef/>
      </w:r>
      <w:r>
        <w:t xml:space="preserve"> Правила обязательного медицинского страхования. Приложение к приказу Министерства здравоохранения Российской Федерации от 28 февраля 2019 г. № 108н «Об утверждении Правил обязательного медицинского страхования» (в ред. Приказа Минздрава России от 13.12.2022 № 789н).</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1BC01">
    <w:bookmarkStart w:id="3126" w:name="_Hlk147334619"/>
    <w:bookmarkStart w:id="3127" w:name="_Hlk147334620"/>
    <w:r>
      <w:t>ФЕДЕРАЛЬНЫЙ ФОНД ОБЯЗАТЕЛЬНОГО МЕДИЦИНСКОГО СТРАХОВАНИЯ</w:t>
    </w:r>
    <w:bookmarkEnd w:id="3126"/>
    <w:bookmarkEnd w:id="3127"/>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34"/>
      <w:tblW w:w="5058" w:type="pct"/>
      <w:tblInd w:w="0"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855"/>
    </w:tblGrid>
    <w:tr w14:paraId="6831F329">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trPr>
      <w:tc>
        <w:tcPr>
          <w:tcW w:w="5000" w:type="pct"/>
          <w:vAlign w:val="center"/>
        </w:tcPr>
        <w:p w14:paraId="1CD310A3">
          <w:pPr>
            <w:pStyle w:val="95"/>
          </w:pPr>
          <w:r>
            <w:t>ФЕДЕРАЛЬНЫЙ ФОНД ОБЯЗАТЕЛЬНОГО МЕДИЦИНСКОГО СТРАХОВАНИЯ</w:t>
          </w:r>
        </w:p>
      </w:tc>
    </w:tr>
  </w:tbl>
  <w:p w14:paraId="35CE405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FF5E0C">
    <w:pPr>
      <w:pStyle w:val="6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2"/>
      <w:tblW w:w="2725" w:type="pct"/>
      <w:tblInd w:w="-34" w:type="dxa"/>
      <w:tblLayout w:type="autofit"/>
      <w:tblCellMar>
        <w:top w:w="0" w:type="dxa"/>
        <w:left w:w="108" w:type="dxa"/>
        <w:bottom w:w="0" w:type="dxa"/>
        <w:right w:w="108" w:type="dxa"/>
      </w:tblCellMar>
    </w:tblPr>
    <w:tblGrid>
      <w:gridCol w:w="4709"/>
      <w:gridCol w:w="543"/>
    </w:tblGrid>
    <w:tr w14:paraId="7B69F73B">
      <w:tblPrEx>
        <w:tblCellMar>
          <w:top w:w="0" w:type="dxa"/>
          <w:left w:w="108" w:type="dxa"/>
          <w:bottom w:w="0" w:type="dxa"/>
          <w:right w:w="108" w:type="dxa"/>
        </w:tblCellMar>
      </w:tblPrEx>
      <w:tc>
        <w:tcPr>
          <w:tcW w:w="4483" w:type="pct"/>
        </w:tcPr>
        <w:p w14:paraId="0BD8AD7E">
          <w:r>
            <w:t>1027700198767.425000.ФЕРЗЛ.ИЗ.1-M</w:t>
          </w:r>
        </w:p>
      </w:tc>
      <w:tc>
        <w:tcPr>
          <w:tcW w:w="517" w:type="pct"/>
        </w:tcPr>
        <w:p w14:paraId="1284602A">
          <w:pPr>
            <w:jc w:val="center"/>
          </w:pPr>
          <w:r>
            <w:fldChar w:fldCharType="begin"/>
          </w:r>
          <w:r>
            <w:instrText xml:space="preserve">PAGE   \* MERGEFORMAT</w:instrText>
          </w:r>
          <w:r>
            <w:fldChar w:fldCharType="separate"/>
          </w:r>
          <w:r>
            <w:t>32</w:t>
          </w:r>
          <w:r>
            <w:fldChar w:fldCharType="end"/>
          </w:r>
        </w:p>
      </w:tc>
    </w:tr>
  </w:tbl>
  <w:p w14:paraId="27C7698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6C61156"/>
    <w:multiLevelType w:val="multilevel"/>
    <w:tmpl w:val="06C61156"/>
    <w:lvl w:ilvl="0" w:tentative="0">
      <w:start w:val="1"/>
      <w:numFmt w:val="russianLower"/>
      <w:pStyle w:val="94"/>
      <w:suff w:val="space"/>
      <w:lvlText w:val="%1)"/>
      <w:lvlJc w:val="left"/>
      <w:pPr>
        <w:ind w:left="1304" w:hanging="283"/>
      </w:pPr>
      <w:rPr>
        <w:rFonts w:hint="default" w:ascii="PT Astra Serif" w:hAnsi="PT Astra Serif"/>
        <w:b w:val="0"/>
        <w:i w:val="0"/>
        <w:caps w:val="0"/>
        <w:strike w:val="0"/>
        <w:dstrike w:val="0"/>
        <w:vanish w:val="0"/>
        <w:color w:val="auto"/>
        <w:sz w:val="24"/>
        <w:vertAlign w:val="baseline"/>
      </w:rPr>
    </w:lvl>
    <w:lvl w:ilvl="1" w:tentative="0">
      <w:start w:val="1"/>
      <w:numFmt w:val="lowerLetter"/>
      <w:lvlText w:val="%2."/>
      <w:lvlJc w:val="left"/>
      <w:pPr>
        <w:ind w:left="2149" w:hanging="360"/>
      </w:pPr>
    </w:lvl>
    <w:lvl w:ilvl="2" w:tentative="0">
      <w:start w:val="1"/>
      <w:numFmt w:val="lowerRoman"/>
      <w:lvlText w:val="%3."/>
      <w:lvlJc w:val="right"/>
      <w:pPr>
        <w:ind w:left="2869" w:hanging="180"/>
      </w:pPr>
    </w:lvl>
    <w:lvl w:ilvl="3" w:tentative="0">
      <w:start w:val="1"/>
      <w:numFmt w:val="decimal"/>
      <w:lvlText w:val="%4."/>
      <w:lvlJc w:val="left"/>
      <w:pPr>
        <w:ind w:left="3589" w:hanging="360"/>
      </w:pPr>
    </w:lvl>
    <w:lvl w:ilvl="4" w:tentative="0">
      <w:start w:val="1"/>
      <w:numFmt w:val="lowerLetter"/>
      <w:lvlText w:val="%5."/>
      <w:lvlJc w:val="left"/>
      <w:pPr>
        <w:ind w:left="4309" w:hanging="360"/>
      </w:pPr>
    </w:lvl>
    <w:lvl w:ilvl="5" w:tentative="0">
      <w:start w:val="1"/>
      <w:numFmt w:val="lowerRoman"/>
      <w:lvlText w:val="%6."/>
      <w:lvlJc w:val="right"/>
      <w:pPr>
        <w:ind w:left="5029" w:hanging="180"/>
      </w:pPr>
    </w:lvl>
    <w:lvl w:ilvl="6" w:tentative="0">
      <w:start w:val="1"/>
      <w:numFmt w:val="decimal"/>
      <w:lvlText w:val="%7."/>
      <w:lvlJc w:val="left"/>
      <w:pPr>
        <w:ind w:left="5749" w:hanging="360"/>
      </w:pPr>
    </w:lvl>
    <w:lvl w:ilvl="7" w:tentative="0">
      <w:start w:val="1"/>
      <w:numFmt w:val="lowerLetter"/>
      <w:lvlText w:val="%8."/>
      <w:lvlJc w:val="left"/>
      <w:pPr>
        <w:ind w:left="6469" w:hanging="360"/>
      </w:pPr>
    </w:lvl>
    <w:lvl w:ilvl="8" w:tentative="0">
      <w:start w:val="1"/>
      <w:numFmt w:val="lowerRoman"/>
      <w:lvlText w:val="%9."/>
      <w:lvlJc w:val="right"/>
      <w:pPr>
        <w:ind w:left="7189" w:hanging="180"/>
      </w:pPr>
    </w:lvl>
  </w:abstractNum>
  <w:abstractNum w:abstractNumId="1">
    <w:nsid w:val="093A2AE7"/>
    <w:multiLevelType w:val="multilevel"/>
    <w:tmpl w:val="093A2AE7"/>
    <w:lvl w:ilvl="0" w:tentative="0">
      <w:start w:val="1"/>
      <w:numFmt w:val="bullet"/>
      <w:pStyle w:val="92"/>
      <w:suff w:val="space"/>
      <w:lvlText w:val=""/>
      <w:lvlJc w:val="left"/>
      <w:pPr>
        <w:ind w:left="1361" w:hanging="170"/>
      </w:pPr>
      <w:rPr>
        <w:rFonts w:hint="default" w:ascii="Symbol" w:hAnsi="Symbol"/>
        <w:sz w:val="18"/>
      </w:rPr>
    </w:lvl>
    <w:lvl w:ilvl="1" w:tentative="0">
      <w:start w:val="1"/>
      <w:numFmt w:val="bullet"/>
      <w:lvlText w:val="o"/>
      <w:lvlJc w:val="left"/>
      <w:pPr>
        <w:ind w:left="2687" w:hanging="360"/>
      </w:pPr>
      <w:rPr>
        <w:rFonts w:hint="default" w:ascii="Courier New" w:hAnsi="Courier New" w:cs="Courier New"/>
      </w:rPr>
    </w:lvl>
    <w:lvl w:ilvl="2" w:tentative="0">
      <w:start w:val="1"/>
      <w:numFmt w:val="bullet"/>
      <w:lvlText w:val=""/>
      <w:lvlJc w:val="left"/>
      <w:pPr>
        <w:ind w:left="3407" w:hanging="360"/>
      </w:pPr>
      <w:rPr>
        <w:rFonts w:hint="default" w:ascii="Wingdings" w:hAnsi="Wingdings"/>
      </w:rPr>
    </w:lvl>
    <w:lvl w:ilvl="3" w:tentative="0">
      <w:start w:val="1"/>
      <w:numFmt w:val="bullet"/>
      <w:lvlText w:val=""/>
      <w:lvlJc w:val="left"/>
      <w:pPr>
        <w:ind w:left="4127" w:hanging="360"/>
      </w:pPr>
      <w:rPr>
        <w:rFonts w:hint="default" w:ascii="Symbol" w:hAnsi="Symbol"/>
      </w:rPr>
    </w:lvl>
    <w:lvl w:ilvl="4" w:tentative="0">
      <w:start w:val="1"/>
      <w:numFmt w:val="bullet"/>
      <w:lvlText w:val="o"/>
      <w:lvlJc w:val="left"/>
      <w:pPr>
        <w:ind w:left="4847" w:hanging="360"/>
      </w:pPr>
      <w:rPr>
        <w:rFonts w:hint="default" w:ascii="Courier New" w:hAnsi="Courier New" w:cs="Courier New"/>
      </w:rPr>
    </w:lvl>
    <w:lvl w:ilvl="5" w:tentative="0">
      <w:start w:val="1"/>
      <w:numFmt w:val="bullet"/>
      <w:lvlText w:val=""/>
      <w:lvlJc w:val="left"/>
      <w:pPr>
        <w:ind w:left="5567" w:hanging="360"/>
      </w:pPr>
      <w:rPr>
        <w:rFonts w:hint="default" w:ascii="Wingdings" w:hAnsi="Wingdings"/>
      </w:rPr>
    </w:lvl>
    <w:lvl w:ilvl="6" w:tentative="0">
      <w:start w:val="1"/>
      <w:numFmt w:val="bullet"/>
      <w:lvlText w:val=""/>
      <w:lvlJc w:val="left"/>
      <w:pPr>
        <w:ind w:left="6287" w:hanging="360"/>
      </w:pPr>
      <w:rPr>
        <w:rFonts w:hint="default" w:ascii="Symbol" w:hAnsi="Symbol"/>
      </w:rPr>
    </w:lvl>
    <w:lvl w:ilvl="7" w:tentative="0">
      <w:start w:val="1"/>
      <w:numFmt w:val="bullet"/>
      <w:lvlText w:val="o"/>
      <w:lvlJc w:val="left"/>
      <w:pPr>
        <w:ind w:left="7007" w:hanging="360"/>
      </w:pPr>
      <w:rPr>
        <w:rFonts w:hint="default" w:ascii="Courier New" w:hAnsi="Courier New" w:cs="Courier New"/>
      </w:rPr>
    </w:lvl>
    <w:lvl w:ilvl="8" w:tentative="0">
      <w:start w:val="1"/>
      <w:numFmt w:val="bullet"/>
      <w:lvlText w:val=""/>
      <w:lvlJc w:val="left"/>
      <w:pPr>
        <w:ind w:left="7727" w:hanging="360"/>
      </w:pPr>
      <w:rPr>
        <w:rFonts w:hint="default" w:ascii="Wingdings" w:hAnsi="Wingdings"/>
      </w:rPr>
    </w:lvl>
  </w:abstractNum>
  <w:abstractNum w:abstractNumId="2">
    <w:nsid w:val="0A563918"/>
    <w:multiLevelType w:val="multilevel"/>
    <w:tmpl w:val="0A563918"/>
    <w:lvl w:ilvl="0" w:tentative="0">
      <w:start w:val="1"/>
      <w:numFmt w:val="bullet"/>
      <w:pStyle w:val="5"/>
      <w:lvlText w:val=""/>
      <w:lvlJc w:val="left"/>
      <w:pPr>
        <w:tabs>
          <w:tab w:val="left" w:pos="2880"/>
        </w:tabs>
        <w:ind w:left="288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40" w:hanging="340"/>
      </w:pPr>
      <w:rPr>
        <w:rFonts w:hint="default" w:ascii="Symbol" w:hAnsi="Symbol"/>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102215D4"/>
    <w:multiLevelType w:val="multilevel"/>
    <w:tmpl w:val="102215D4"/>
    <w:lvl w:ilvl="0" w:tentative="0">
      <w:start w:val="1"/>
      <w:numFmt w:val="russianLower"/>
      <w:pStyle w:val="93"/>
      <w:suff w:val="space"/>
      <w:lvlText w:val="%1)"/>
      <w:lvlJc w:val="left"/>
      <w:pPr>
        <w:tabs>
          <w:tab w:val="left" w:pos="0"/>
        </w:tabs>
        <w:ind w:left="1474" w:hanging="283"/>
      </w:pPr>
      <w:rPr>
        <w:rFonts w:ascii="Times New Roman" w:hAnsi="Times New Roman"/>
        <w:b w:val="0"/>
        <w:i w:val="0"/>
        <w:color w:val="auto"/>
        <w:sz w:val="24"/>
      </w:rPr>
    </w:lvl>
    <w:lvl w:ilvl="1" w:tentative="0">
      <w:start w:val="1"/>
      <w:numFmt w:val="lowerLetter"/>
      <w:lvlText w:val="%2."/>
      <w:lvlJc w:val="left"/>
      <w:pPr>
        <w:tabs>
          <w:tab w:val="left" w:pos="0"/>
        </w:tabs>
        <w:ind w:left="2347" w:hanging="360"/>
      </w:pPr>
    </w:lvl>
    <w:lvl w:ilvl="2" w:tentative="0">
      <w:start w:val="1"/>
      <w:numFmt w:val="lowerRoman"/>
      <w:lvlText w:val="%3."/>
      <w:lvlJc w:val="right"/>
      <w:pPr>
        <w:tabs>
          <w:tab w:val="left" w:pos="0"/>
        </w:tabs>
        <w:ind w:left="3067" w:hanging="180"/>
      </w:pPr>
    </w:lvl>
    <w:lvl w:ilvl="3" w:tentative="0">
      <w:start w:val="1"/>
      <w:numFmt w:val="decimal"/>
      <w:lvlText w:val="%4."/>
      <w:lvlJc w:val="left"/>
      <w:pPr>
        <w:tabs>
          <w:tab w:val="left" w:pos="0"/>
        </w:tabs>
        <w:ind w:left="3787" w:hanging="360"/>
      </w:pPr>
    </w:lvl>
    <w:lvl w:ilvl="4" w:tentative="0">
      <w:start w:val="1"/>
      <w:numFmt w:val="lowerLetter"/>
      <w:lvlText w:val="%5."/>
      <w:lvlJc w:val="left"/>
      <w:pPr>
        <w:tabs>
          <w:tab w:val="left" w:pos="0"/>
        </w:tabs>
        <w:ind w:left="4507" w:hanging="360"/>
      </w:pPr>
    </w:lvl>
    <w:lvl w:ilvl="5" w:tentative="0">
      <w:start w:val="1"/>
      <w:numFmt w:val="lowerRoman"/>
      <w:lvlText w:val="%6."/>
      <w:lvlJc w:val="right"/>
      <w:pPr>
        <w:tabs>
          <w:tab w:val="left" w:pos="0"/>
        </w:tabs>
        <w:ind w:left="5227" w:hanging="180"/>
      </w:pPr>
    </w:lvl>
    <w:lvl w:ilvl="6" w:tentative="0">
      <w:start w:val="1"/>
      <w:numFmt w:val="decimal"/>
      <w:lvlText w:val="%7."/>
      <w:lvlJc w:val="left"/>
      <w:pPr>
        <w:tabs>
          <w:tab w:val="left" w:pos="0"/>
        </w:tabs>
        <w:ind w:left="5947" w:hanging="360"/>
      </w:pPr>
    </w:lvl>
    <w:lvl w:ilvl="7" w:tentative="0">
      <w:start w:val="1"/>
      <w:numFmt w:val="lowerLetter"/>
      <w:lvlText w:val="%8."/>
      <w:lvlJc w:val="left"/>
      <w:pPr>
        <w:tabs>
          <w:tab w:val="left" w:pos="0"/>
        </w:tabs>
        <w:ind w:left="6667" w:hanging="360"/>
      </w:pPr>
    </w:lvl>
    <w:lvl w:ilvl="8" w:tentative="0">
      <w:start w:val="1"/>
      <w:numFmt w:val="lowerRoman"/>
      <w:lvlText w:val="%9."/>
      <w:lvlJc w:val="right"/>
      <w:pPr>
        <w:tabs>
          <w:tab w:val="left" w:pos="0"/>
        </w:tabs>
        <w:ind w:left="7387" w:hanging="180"/>
      </w:pPr>
    </w:lvl>
  </w:abstractNum>
  <w:abstractNum w:abstractNumId="4">
    <w:nsid w:val="27BE4FBE"/>
    <w:multiLevelType w:val="multilevel"/>
    <w:tmpl w:val="27BE4FBE"/>
    <w:lvl w:ilvl="0" w:tentative="0">
      <w:start w:val="1"/>
      <w:numFmt w:val="decimal"/>
      <w:pStyle w:val="75"/>
      <w:suff w:val="space"/>
      <w:lvlText w:val="%1)"/>
      <w:lvlJc w:val="left"/>
      <w:pPr>
        <w:ind w:left="1" w:firstLine="709"/>
      </w:pPr>
      <w:rPr>
        <w:rFonts w:hint="default" w:ascii="PT Astra Serif" w:hAnsi="PT Astra Serif" w:cs="Times New Roman"/>
        <w:b w:val="0"/>
        <w:bCs w:val="0"/>
        <w:i w:val="0"/>
        <w:iCs w:val="0"/>
        <w:caps w:val="0"/>
        <w:smallCaps w:val="0"/>
        <w:strike w:val="0"/>
        <w:dstrike w:val="0"/>
        <w:vanish w:val="0"/>
        <w:color w:val="000000"/>
        <w:kern w:val="0"/>
        <w:position w:val="0"/>
        <w:sz w:val="24"/>
        <w:u w:val="none"/>
        <w:vertAlign w:val="baseline"/>
        <w14:shadow w14:blurRad="0" w14:dist="0" w14:dir="0" w14:sx="0" w14:sy="0" w14:kx="0" w14:ky="0" w14:algn="none">
          <w14:srgbClr w14:val="000000"/>
        </w14:shadow>
      </w:rPr>
    </w:lvl>
    <w:lvl w:ilvl="1" w:tentative="0">
      <w:start w:val="1"/>
      <w:numFmt w:val="lowerLetter"/>
      <w:lvlText w:val="%2."/>
      <w:lvlJc w:val="left"/>
      <w:pPr>
        <w:tabs>
          <w:tab w:val="left" w:pos="0"/>
        </w:tabs>
        <w:ind w:left="2149" w:hanging="360"/>
      </w:pPr>
      <w:rPr>
        <w:rFonts w:hint="default"/>
      </w:rPr>
    </w:lvl>
    <w:lvl w:ilvl="2" w:tentative="0">
      <w:start w:val="1"/>
      <w:numFmt w:val="lowerRoman"/>
      <w:lvlText w:val="%3."/>
      <w:lvlJc w:val="right"/>
      <w:pPr>
        <w:tabs>
          <w:tab w:val="left" w:pos="0"/>
        </w:tabs>
        <w:ind w:left="2869" w:hanging="180"/>
      </w:pPr>
      <w:rPr>
        <w:rFonts w:hint="default"/>
      </w:rPr>
    </w:lvl>
    <w:lvl w:ilvl="3" w:tentative="0">
      <w:start w:val="1"/>
      <w:numFmt w:val="decimal"/>
      <w:lvlText w:val="%4."/>
      <w:lvlJc w:val="left"/>
      <w:pPr>
        <w:tabs>
          <w:tab w:val="left" w:pos="0"/>
        </w:tabs>
        <w:ind w:left="3589" w:hanging="360"/>
      </w:pPr>
      <w:rPr>
        <w:rFonts w:hint="default"/>
      </w:rPr>
    </w:lvl>
    <w:lvl w:ilvl="4" w:tentative="0">
      <w:start w:val="1"/>
      <w:numFmt w:val="lowerLetter"/>
      <w:lvlText w:val="%5."/>
      <w:lvlJc w:val="left"/>
      <w:pPr>
        <w:tabs>
          <w:tab w:val="left" w:pos="0"/>
        </w:tabs>
        <w:ind w:left="4309" w:hanging="360"/>
      </w:pPr>
      <w:rPr>
        <w:rFonts w:hint="default"/>
      </w:rPr>
    </w:lvl>
    <w:lvl w:ilvl="5" w:tentative="0">
      <w:start w:val="1"/>
      <w:numFmt w:val="lowerRoman"/>
      <w:lvlText w:val="%6."/>
      <w:lvlJc w:val="right"/>
      <w:pPr>
        <w:tabs>
          <w:tab w:val="left" w:pos="0"/>
        </w:tabs>
        <w:ind w:left="5029" w:hanging="180"/>
      </w:pPr>
      <w:rPr>
        <w:rFonts w:hint="default"/>
      </w:rPr>
    </w:lvl>
    <w:lvl w:ilvl="6" w:tentative="0">
      <w:start w:val="1"/>
      <w:numFmt w:val="decimal"/>
      <w:lvlText w:val="%7."/>
      <w:lvlJc w:val="left"/>
      <w:pPr>
        <w:tabs>
          <w:tab w:val="left" w:pos="0"/>
        </w:tabs>
        <w:ind w:left="5749" w:hanging="360"/>
      </w:pPr>
      <w:rPr>
        <w:rFonts w:hint="default"/>
      </w:rPr>
    </w:lvl>
    <w:lvl w:ilvl="7" w:tentative="0">
      <w:start w:val="1"/>
      <w:numFmt w:val="lowerLetter"/>
      <w:lvlText w:val="%8."/>
      <w:lvlJc w:val="left"/>
      <w:pPr>
        <w:tabs>
          <w:tab w:val="left" w:pos="0"/>
        </w:tabs>
        <w:ind w:left="6469" w:hanging="360"/>
      </w:pPr>
      <w:rPr>
        <w:rFonts w:hint="default"/>
      </w:rPr>
    </w:lvl>
    <w:lvl w:ilvl="8" w:tentative="0">
      <w:start w:val="1"/>
      <w:numFmt w:val="lowerRoman"/>
      <w:lvlText w:val="%9."/>
      <w:lvlJc w:val="right"/>
      <w:pPr>
        <w:tabs>
          <w:tab w:val="left" w:pos="0"/>
        </w:tabs>
        <w:ind w:left="7189" w:hanging="180"/>
      </w:pPr>
      <w:rPr>
        <w:rFonts w:hint="default"/>
      </w:rPr>
    </w:lvl>
  </w:abstractNum>
  <w:abstractNum w:abstractNumId="5">
    <w:nsid w:val="2CDA5549"/>
    <w:multiLevelType w:val="multilevel"/>
    <w:tmpl w:val="2CDA5549"/>
    <w:lvl w:ilvl="0" w:tentative="0">
      <w:start w:val="0"/>
      <w:numFmt w:val="bullet"/>
      <w:pStyle w:val="78"/>
      <w:suff w:val="space"/>
      <w:lvlText w:val="•"/>
      <w:lvlJc w:val="left"/>
      <w:pPr>
        <w:ind w:left="1134" w:hanging="170"/>
      </w:pPr>
      <w:rPr>
        <w:rFonts w:hint="default" w:ascii="PT Astra Serif" w:hAnsi="PT Astra Serif" w:eastAsia="Times New Roman" w:cs="Times New Roman"/>
      </w:rPr>
    </w:lvl>
    <w:lvl w:ilvl="1" w:tentative="0">
      <w:start w:val="1"/>
      <w:numFmt w:val="bullet"/>
      <w:lvlText w:val="o"/>
      <w:lvlJc w:val="left"/>
      <w:pPr>
        <w:ind w:left="3087" w:hanging="360"/>
      </w:pPr>
      <w:rPr>
        <w:rFonts w:hint="default" w:ascii="Courier New" w:hAnsi="Courier New" w:cs="Courier New"/>
      </w:rPr>
    </w:lvl>
    <w:lvl w:ilvl="2" w:tentative="0">
      <w:start w:val="1"/>
      <w:numFmt w:val="bullet"/>
      <w:lvlText w:val=""/>
      <w:lvlJc w:val="left"/>
      <w:pPr>
        <w:ind w:left="3807" w:hanging="360"/>
      </w:pPr>
      <w:rPr>
        <w:rFonts w:hint="default" w:ascii="Wingdings" w:hAnsi="Wingdings"/>
      </w:rPr>
    </w:lvl>
    <w:lvl w:ilvl="3" w:tentative="0">
      <w:start w:val="1"/>
      <w:numFmt w:val="bullet"/>
      <w:lvlText w:val=""/>
      <w:lvlJc w:val="left"/>
      <w:pPr>
        <w:ind w:left="4527" w:hanging="360"/>
      </w:pPr>
      <w:rPr>
        <w:rFonts w:hint="default" w:ascii="Symbol" w:hAnsi="Symbol"/>
      </w:rPr>
    </w:lvl>
    <w:lvl w:ilvl="4" w:tentative="0">
      <w:start w:val="1"/>
      <w:numFmt w:val="bullet"/>
      <w:lvlText w:val="o"/>
      <w:lvlJc w:val="left"/>
      <w:pPr>
        <w:ind w:left="5247" w:hanging="360"/>
      </w:pPr>
      <w:rPr>
        <w:rFonts w:hint="default" w:ascii="Courier New" w:hAnsi="Courier New" w:cs="Courier New"/>
      </w:rPr>
    </w:lvl>
    <w:lvl w:ilvl="5" w:tentative="0">
      <w:start w:val="1"/>
      <w:numFmt w:val="bullet"/>
      <w:lvlText w:val=""/>
      <w:lvlJc w:val="left"/>
      <w:pPr>
        <w:ind w:left="5967" w:hanging="360"/>
      </w:pPr>
      <w:rPr>
        <w:rFonts w:hint="default" w:ascii="Wingdings" w:hAnsi="Wingdings"/>
      </w:rPr>
    </w:lvl>
    <w:lvl w:ilvl="6" w:tentative="0">
      <w:start w:val="1"/>
      <w:numFmt w:val="bullet"/>
      <w:lvlText w:val=""/>
      <w:lvlJc w:val="left"/>
      <w:pPr>
        <w:ind w:left="6687" w:hanging="360"/>
      </w:pPr>
      <w:rPr>
        <w:rFonts w:hint="default" w:ascii="Symbol" w:hAnsi="Symbol"/>
      </w:rPr>
    </w:lvl>
    <w:lvl w:ilvl="7" w:tentative="0">
      <w:start w:val="1"/>
      <w:numFmt w:val="bullet"/>
      <w:lvlText w:val="o"/>
      <w:lvlJc w:val="left"/>
      <w:pPr>
        <w:ind w:left="7407" w:hanging="360"/>
      </w:pPr>
      <w:rPr>
        <w:rFonts w:hint="default" w:ascii="Courier New" w:hAnsi="Courier New" w:cs="Courier New"/>
      </w:rPr>
    </w:lvl>
    <w:lvl w:ilvl="8" w:tentative="0">
      <w:start w:val="1"/>
      <w:numFmt w:val="bullet"/>
      <w:lvlText w:val=""/>
      <w:lvlJc w:val="left"/>
      <w:pPr>
        <w:ind w:left="8127" w:hanging="360"/>
      </w:pPr>
      <w:rPr>
        <w:rFonts w:hint="default" w:ascii="Wingdings" w:hAnsi="Wingdings"/>
      </w:rPr>
    </w:lvl>
  </w:abstractNum>
  <w:abstractNum w:abstractNumId="6">
    <w:nsid w:val="350F41AA"/>
    <w:multiLevelType w:val="multilevel"/>
    <w:tmpl w:val="350F41AA"/>
    <w:lvl w:ilvl="0" w:tentative="0">
      <w:start w:val="1"/>
      <w:numFmt w:val="bullet"/>
      <w:pStyle w:val="76"/>
      <w:suff w:val="space"/>
      <w:lvlText w:val=""/>
      <w:lvlJc w:val="left"/>
      <w:pPr>
        <w:ind w:left="1" w:firstLine="709"/>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374D4C1B"/>
    <w:multiLevelType w:val="multilevel"/>
    <w:tmpl w:val="374D4C1B"/>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pStyle w:val="6"/>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8">
    <w:nsid w:val="37DA6C72"/>
    <w:multiLevelType w:val="multilevel"/>
    <w:tmpl w:val="37DA6C72"/>
    <w:lvl w:ilvl="0" w:tentative="0">
      <w:start w:val="1"/>
      <w:numFmt w:val="bullet"/>
      <w:pStyle w:val="77"/>
      <w:suff w:val="space"/>
      <w:lvlText w:val=""/>
      <w:lvlJc w:val="left"/>
      <w:pPr>
        <w:tabs>
          <w:tab w:val="left" w:pos="0"/>
        </w:tabs>
        <w:ind w:left="1191" w:hanging="227"/>
      </w:pPr>
      <w:rPr>
        <w:rFonts w:hint="default" w:ascii="Symbol" w:hAnsi="Symbol" w:cs="Symbol"/>
        <w:b w:val="0"/>
        <w:i w:val="0"/>
        <w:color w:val="auto"/>
        <w:sz w:val="24"/>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9">
    <w:nsid w:val="38165F83"/>
    <w:multiLevelType w:val="multilevel"/>
    <w:tmpl w:val="38165F83"/>
    <w:lvl w:ilvl="0" w:tentative="0">
      <w:start w:val="1"/>
      <w:numFmt w:val="bullet"/>
      <w:suff w:val="space"/>
      <w:lvlText w:val=""/>
      <w:lvlJc w:val="left"/>
      <w:pPr>
        <w:ind w:left="1070" w:hanging="360"/>
      </w:pPr>
      <w:rPr>
        <w:rFonts w:hint="default" w:ascii="Symbol" w:hAnsi="Symbol"/>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10">
    <w:nsid w:val="43525C91"/>
    <w:multiLevelType w:val="multilevel"/>
    <w:tmpl w:val="43525C91"/>
    <w:lvl w:ilvl="0" w:tentative="0">
      <w:start w:val="1"/>
      <w:numFmt w:val="decimal"/>
      <w:pStyle w:val="57"/>
      <w:suff w:val="space"/>
      <w:lvlText w:val="%1"/>
      <w:lvlJc w:val="left"/>
      <w:pPr>
        <w:ind w:left="0" w:firstLine="709"/>
      </w:pPr>
      <w:rPr>
        <w:rFonts w:hint="default" w:ascii="PT Astra Serif" w:hAnsi="PT Astra Serif"/>
        <w:b/>
        <w:i w:val="0"/>
        <w:color w:val="auto"/>
        <w:sz w:val="28"/>
      </w:rPr>
    </w:lvl>
    <w:lvl w:ilvl="1" w:tentative="0">
      <w:start w:val="1"/>
      <w:numFmt w:val="decimal"/>
      <w:pStyle w:val="58"/>
      <w:suff w:val="space"/>
      <w:lvlText w:val="%1.%2"/>
      <w:lvlJc w:val="left"/>
      <w:pPr>
        <w:ind w:left="0" w:firstLine="709"/>
      </w:pPr>
    </w:lvl>
    <w:lvl w:ilvl="2" w:tentative="0">
      <w:start w:val="1"/>
      <w:numFmt w:val="decimal"/>
      <w:pStyle w:val="60"/>
      <w:suff w:val="space"/>
      <w:lvlText w:val="%1.%2.%3"/>
      <w:lvlJc w:val="left"/>
      <w:pPr>
        <w:ind w:left="0" w:firstLine="709"/>
      </w:pPr>
    </w:lvl>
    <w:lvl w:ilvl="3" w:tentative="0">
      <w:start w:val="1"/>
      <w:numFmt w:val="decimal"/>
      <w:pStyle w:val="61"/>
      <w:suff w:val="space"/>
      <w:lvlText w:val="%1.%2.%3.%4"/>
      <w:lvlJc w:val="left"/>
      <w:pPr>
        <w:ind w:left="1" w:firstLine="709"/>
      </w:pPr>
      <w:rPr>
        <w:rFonts w:hint="default" w:ascii="PT Astra Serif" w:hAnsi="PT Astra Serif"/>
        <w:b w:val="0"/>
        <w:i w:val="0"/>
        <w:color w:val="auto"/>
        <w:sz w:val="24"/>
      </w:rPr>
    </w:lvl>
    <w:lvl w:ilvl="4" w:tentative="0">
      <w:start w:val="1"/>
      <w:numFmt w:val="decimal"/>
      <w:suff w:val="space"/>
      <w:lvlText w:val="%1.%2.%3.%4.%5"/>
      <w:lvlJc w:val="left"/>
      <w:pPr>
        <w:ind w:left="0" w:firstLine="709"/>
      </w:pPr>
      <w:rPr>
        <w:rFonts w:hint="default" w:ascii="PT Astra Serif" w:hAnsi="PT Astra Serif"/>
        <w:b w:val="0"/>
        <w:i w:val="0"/>
        <w:color w:val="auto"/>
        <w:sz w:val="24"/>
      </w:rPr>
    </w:lvl>
    <w:lvl w:ilvl="5" w:tentative="0">
      <w:start w:val="1"/>
      <w:numFmt w:val="decimal"/>
      <w:lvlText w:val="%1.%2.%3.%4.%5.%6."/>
      <w:lvlJc w:val="left"/>
      <w:pPr>
        <w:tabs>
          <w:tab w:val="left" w:pos="709"/>
        </w:tabs>
        <w:ind w:left="0" w:firstLine="709"/>
      </w:pPr>
      <w:rPr>
        <w:rFonts w:hint="default"/>
      </w:rPr>
    </w:lvl>
    <w:lvl w:ilvl="6" w:tentative="0">
      <w:start w:val="1"/>
      <w:numFmt w:val="decimal"/>
      <w:lvlText w:val="%1.%2.%3.%4.%5.%6.%7."/>
      <w:lvlJc w:val="left"/>
      <w:pPr>
        <w:tabs>
          <w:tab w:val="left" w:pos="709"/>
        </w:tabs>
        <w:ind w:left="0" w:firstLine="709"/>
      </w:pPr>
      <w:rPr>
        <w:rFonts w:hint="default"/>
      </w:rPr>
    </w:lvl>
    <w:lvl w:ilvl="7" w:tentative="0">
      <w:start w:val="1"/>
      <w:numFmt w:val="decimal"/>
      <w:lvlText w:val="%1.%2.%3.%4.%5.%6.%7.%8."/>
      <w:lvlJc w:val="left"/>
      <w:pPr>
        <w:tabs>
          <w:tab w:val="left" w:pos="709"/>
        </w:tabs>
        <w:ind w:left="0" w:firstLine="709"/>
      </w:pPr>
      <w:rPr>
        <w:rFonts w:hint="default"/>
      </w:rPr>
    </w:lvl>
    <w:lvl w:ilvl="8" w:tentative="0">
      <w:start w:val="1"/>
      <w:numFmt w:val="decimal"/>
      <w:lvlText w:val="%1.%2.%3.%4.%5.%6.%7.%8.%9."/>
      <w:lvlJc w:val="left"/>
      <w:pPr>
        <w:tabs>
          <w:tab w:val="left" w:pos="709"/>
        </w:tabs>
        <w:ind w:left="0" w:firstLine="709"/>
      </w:pPr>
      <w:rPr>
        <w:rFonts w:hint="default"/>
      </w:rPr>
    </w:lvl>
  </w:abstractNum>
  <w:abstractNum w:abstractNumId="11">
    <w:nsid w:val="4C702E7F"/>
    <w:multiLevelType w:val="multilevel"/>
    <w:tmpl w:val="4C702E7F"/>
    <w:lvl w:ilvl="0" w:tentative="0">
      <w:start w:val="1"/>
      <w:numFmt w:val="bullet"/>
      <w:pStyle w:val="105"/>
      <w:suff w:val="space"/>
      <w:lvlText w:val="•"/>
      <w:lvlJc w:val="left"/>
      <w:pPr>
        <w:ind w:left="624" w:hanging="170"/>
      </w:pPr>
      <w:rPr>
        <w:rFonts w:hint="default" w:ascii="Times New Roman" w:hAnsi="Times New Roman" w:cs="Times New Roman"/>
        <w:b w:val="0"/>
        <w:i w:val="0"/>
        <w:sz w:val="20"/>
      </w:rPr>
    </w:lvl>
    <w:lvl w:ilvl="1" w:tentative="0">
      <w:start w:val="1"/>
      <w:numFmt w:val="bullet"/>
      <w:lvlText w:val="o"/>
      <w:lvlJc w:val="left"/>
      <w:pPr>
        <w:ind w:left="1780" w:hanging="360"/>
      </w:pPr>
      <w:rPr>
        <w:rFonts w:hint="default" w:ascii="Courier New" w:hAnsi="Courier New" w:cs="Courier New"/>
      </w:rPr>
    </w:lvl>
    <w:lvl w:ilvl="2" w:tentative="0">
      <w:start w:val="1"/>
      <w:numFmt w:val="bullet"/>
      <w:lvlText w:val=""/>
      <w:lvlJc w:val="left"/>
      <w:pPr>
        <w:ind w:left="2500" w:hanging="360"/>
      </w:pPr>
      <w:rPr>
        <w:rFonts w:hint="default" w:ascii="Wingdings" w:hAnsi="Wingdings"/>
      </w:rPr>
    </w:lvl>
    <w:lvl w:ilvl="3" w:tentative="0">
      <w:start w:val="1"/>
      <w:numFmt w:val="bullet"/>
      <w:lvlText w:val=""/>
      <w:lvlJc w:val="left"/>
      <w:pPr>
        <w:ind w:left="3220" w:hanging="360"/>
      </w:pPr>
      <w:rPr>
        <w:rFonts w:hint="default" w:ascii="Symbol" w:hAnsi="Symbol"/>
      </w:rPr>
    </w:lvl>
    <w:lvl w:ilvl="4" w:tentative="0">
      <w:start w:val="1"/>
      <w:numFmt w:val="bullet"/>
      <w:lvlText w:val="o"/>
      <w:lvlJc w:val="left"/>
      <w:pPr>
        <w:ind w:left="3940" w:hanging="360"/>
      </w:pPr>
      <w:rPr>
        <w:rFonts w:hint="default" w:ascii="Courier New" w:hAnsi="Courier New" w:cs="Courier New"/>
      </w:rPr>
    </w:lvl>
    <w:lvl w:ilvl="5" w:tentative="0">
      <w:start w:val="1"/>
      <w:numFmt w:val="bullet"/>
      <w:lvlText w:val=""/>
      <w:lvlJc w:val="left"/>
      <w:pPr>
        <w:ind w:left="4660" w:hanging="360"/>
      </w:pPr>
      <w:rPr>
        <w:rFonts w:hint="default" w:ascii="Wingdings" w:hAnsi="Wingdings"/>
      </w:rPr>
    </w:lvl>
    <w:lvl w:ilvl="6" w:tentative="0">
      <w:start w:val="1"/>
      <w:numFmt w:val="bullet"/>
      <w:lvlText w:val=""/>
      <w:lvlJc w:val="left"/>
      <w:pPr>
        <w:ind w:left="5380" w:hanging="360"/>
      </w:pPr>
      <w:rPr>
        <w:rFonts w:hint="default" w:ascii="Symbol" w:hAnsi="Symbol"/>
      </w:rPr>
    </w:lvl>
    <w:lvl w:ilvl="7" w:tentative="0">
      <w:start w:val="1"/>
      <w:numFmt w:val="bullet"/>
      <w:lvlText w:val="o"/>
      <w:lvlJc w:val="left"/>
      <w:pPr>
        <w:ind w:left="6100" w:hanging="360"/>
      </w:pPr>
      <w:rPr>
        <w:rFonts w:hint="default" w:ascii="Courier New" w:hAnsi="Courier New" w:cs="Courier New"/>
      </w:rPr>
    </w:lvl>
    <w:lvl w:ilvl="8" w:tentative="0">
      <w:start w:val="1"/>
      <w:numFmt w:val="bullet"/>
      <w:lvlText w:val=""/>
      <w:lvlJc w:val="left"/>
      <w:pPr>
        <w:ind w:left="6820" w:hanging="360"/>
      </w:pPr>
      <w:rPr>
        <w:rFonts w:hint="default" w:ascii="Wingdings" w:hAnsi="Wingdings"/>
      </w:rPr>
    </w:lvl>
  </w:abstractNum>
  <w:abstractNum w:abstractNumId="12">
    <w:nsid w:val="4CCE5302"/>
    <w:multiLevelType w:val="multilevel"/>
    <w:tmpl w:val="4CCE5302"/>
    <w:lvl w:ilvl="0" w:tentative="0">
      <w:start w:val="1"/>
      <w:numFmt w:val="decimal"/>
      <w:pStyle w:val="103"/>
      <w:suff w:val="space"/>
      <w:lvlText w:val="%1"/>
      <w:lvlJc w:val="left"/>
      <w:pPr>
        <w:ind w:left="113" w:firstLine="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54225861"/>
    <w:multiLevelType w:val="multilevel"/>
    <w:tmpl w:val="54225861"/>
    <w:lvl w:ilvl="0" w:tentative="0">
      <w:start w:val="1"/>
      <w:numFmt w:val="decimal"/>
      <w:pStyle w:val="2"/>
      <w:lvlText w:val="%1"/>
      <w:lvlJc w:val="left"/>
      <w:pPr>
        <w:tabs>
          <w:tab w:val="left" w:pos="360"/>
        </w:tabs>
        <w:ind w:left="0" w:firstLine="0"/>
      </w:pPr>
      <w:rPr>
        <w:rFonts w:hint="default" w:ascii="Times New Roman" w:hAnsi="Times New Roman" w:cs="Times New Roman"/>
      </w:rPr>
    </w:lvl>
    <w:lvl w:ilvl="1" w:tentative="0">
      <w:start w:val="1"/>
      <w:numFmt w:val="decimal"/>
      <w:lvlText w:val="%1.%2"/>
      <w:lvlJc w:val="left"/>
      <w:pPr>
        <w:tabs>
          <w:tab w:val="left" w:pos="1440"/>
        </w:tabs>
        <w:ind w:left="720" w:firstLine="0"/>
      </w:pPr>
      <w:rPr>
        <w:rFonts w:hint="default"/>
      </w:rPr>
    </w:lvl>
    <w:lvl w:ilvl="2" w:tentative="0">
      <w:start w:val="1"/>
      <w:numFmt w:val="decimal"/>
      <w:pStyle w:val="4"/>
      <w:lvlText w:val="%1.%2.%3"/>
      <w:lvlJc w:val="left"/>
      <w:pPr>
        <w:tabs>
          <w:tab w:val="left" w:pos="1440"/>
        </w:tabs>
        <w:ind w:left="720" w:firstLine="0"/>
      </w:pPr>
      <w:rPr>
        <w:rFonts w:hint="default" w:ascii="Times New Roman" w:hAnsi="Times New Roman" w:cs="Times New Roman"/>
      </w:rPr>
    </w:lvl>
    <w:lvl w:ilvl="3" w:tentative="0">
      <w:start w:val="1"/>
      <w:numFmt w:val="decimal"/>
      <w:lvlText w:val="%1.%2.%3.%4"/>
      <w:lvlJc w:val="left"/>
      <w:pPr>
        <w:tabs>
          <w:tab w:val="left" w:pos="1800"/>
        </w:tabs>
        <w:ind w:left="720" w:firstLine="0"/>
      </w:pPr>
      <w:rPr>
        <w:rFonts w:hint="default"/>
      </w:rPr>
    </w:lvl>
    <w:lvl w:ilvl="4" w:tentative="0">
      <w:start w:val="1"/>
      <w:numFmt w:val="decimal"/>
      <w:lvlText w:val="%1.%2.%3.%4.%5"/>
      <w:lvlJc w:val="left"/>
      <w:pPr>
        <w:tabs>
          <w:tab w:val="left" w:pos="2160"/>
        </w:tabs>
        <w:ind w:left="720" w:firstLine="0"/>
      </w:pPr>
      <w:rPr>
        <w:rFonts w:hint="default"/>
      </w:rPr>
    </w:lvl>
    <w:lvl w:ilvl="5" w:tentative="0">
      <w:start w:val="1"/>
      <w:numFmt w:val="decimal"/>
      <w:pStyle w:val="7"/>
      <w:lvlText w:val="%1.%2.%3.%4.%5.%6"/>
      <w:lvlJc w:val="left"/>
      <w:pPr>
        <w:tabs>
          <w:tab w:val="left" w:pos="2520"/>
        </w:tabs>
        <w:ind w:left="720" w:firstLine="0"/>
      </w:pPr>
      <w:rPr>
        <w:rFonts w:hint="default"/>
      </w:rPr>
    </w:lvl>
    <w:lvl w:ilvl="6" w:tentative="0">
      <w:start w:val="1"/>
      <w:numFmt w:val="decimal"/>
      <w:pStyle w:val="8"/>
      <w:lvlText w:val="%1.%2.%3.%4.%5.%6.%7"/>
      <w:lvlJc w:val="left"/>
      <w:pPr>
        <w:tabs>
          <w:tab w:val="left" w:pos="2520"/>
        </w:tabs>
        <w:ind w:left="720" w:firstLine="0"/>
      </w:pPr>
      <w:rPr>
        <w:rFonts w:hint="default"/>
      </w:rPr>
    </w:lvl>
    <w:lvl w:ilvl="7" w:tentative="0">
      <w:start w:val="1"/>
      <w:numFmt w:val="decimal"/>
      <w:pStyle w:val="9"/>
      <w:lvlText w:val="%1.%2.%3.%4.%5.%6.%7.%8"/>
      <w:lvlJc w:val="left"/>
      <w:pPr>
        <w:tabs>
          <w:tab w:val="left" w:pos="2880"/>
        </w:tabs>
        <w:ind w:left="720" w:firstLine="0"/>
      </w:pPr>
      <w:rPr>
        <w:rFonts w:hint="default"/>
      </w:rPr>
    </w:lvl>
    <w:lvl w:ilvl="8" w:tentative="0">
      <w:start w:val="1"/>
      <w:numFmt w:val="decimal"/>
      <w:pStyle w:val="10"/>
      <w:lvlText w:val="%1.%2.%3.%4.%5.%6.%7.%8.%9"/>
      <w:lvlJc w:val="left"/>
      <w:pPr>
        <w:tabs>
          <w:tab w:val="left" w:pos="3240"/>
        </w:tabs>
        <w:ind w:left="720" w:firstLine="0"/>
      </w:pPr>
      <w:rPr>
        <w:rFonts w:hint="default"/>
      </w:rPr>
    </w:lvl>
  </w:abstractNum>
  <w:abstractNum w:abstractNumId="14">
    <w:nsid w:val="64C40B9D"/>
    <w:multiLevelType w:val="multilevel"/>
    <w:tmpl w:val="64C40B9D"/>
    <w:lvl w:ilvl="0" w:tentative="0">
      <w:start w:val="0"/>
      <w:numFmt w:val="bullet"/>
      <w:pStyle w:val="101"/>
      <w:suff w:val="space"/>
      <w:lvlText w:val=""/>
      <w:lvlJc w:val="left"/>
      <w:pPr>
        <w:ind w:left="227" w:hanging="227"/>
      </w:pPr>
      <w:rPr>
        <w:rFonts w:hint="default" w:ascii="Symbol" w:hAnsi="Symbol" w:cs="Times New Roman"/>
        <w:b w:val="0"/>
        <w:i w:val="0"/>
        <w:color w:val="auto"/>
        <w:sz w:val="24"/>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6B3768F7"/>
    <w:multiLevelType w:val="multilevel"/>
    <w:tmpl w:val="6B3768F7"/>
    <w:lvl w:ilvl="0" w:tentative="0">
      <w:start w:val="1"/>
      <w:numFmt w:val="russianUpper"/>
      <w:pStyle w:val="36"/>
      <w:suff w:val="space"/>
      <w:lvlText w:val="Приложение %1"/>
      <w:lvlJc w:val="left"/>
      <w:pPr>
        <w:ind w:left="0" w:firstLine="0"/>
      </w:pPr>
    </w:lvl>
    <w:lvl w:ilvl="1" w:tentative="0">
      <w:start w:val="1"/>
      <w:numFmt w:val="decimal"/>
      <w:pStyle w:val="37"/>
      <w:suff w:val="space"/>
      <w:lvlText w:val="%1.%2"/>
      <w:lvlJc w:val="left"/>
      <w:pPr>
        <w:ind w:left="0" w:firstLine="709"/>
      </w:pPr>
      <w:rPr>
        <w:rFonts w:hint="default" w:ascii="PT Astra Serif" w:hAnsi="PT Astra Serif"/>
        <w:b/>
        <w:bCs w:val="0"/>
        <w:i w:val="0"/>
        <w:iCs w:val="0"/>
        <w:caps w:val="0"/>
        <w:smallCaps w:val="0"/>
        <w:strike w:val="0"/>
        <w:dstrike w:val="0"/>
        <w:vanish w:val="0"/>
        <w:color w:val="auto"/>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2" w:tentative="0">
      <w:start w:val="1"/>
      <w:numFmt w:val="decimal"/>
      <w:pStyle w:val="38"/>
      <w:suff w:val="space"/>
      <w:lvlText w:val="%1.%2.%3"/>
      <w:lvlJc w:val="left"/>
      <w:pPr>
        <w:ind w:left="0" w:firstLine="709"/>
      </w:pPr>
      <w:rPr>
        <w:rFonts w:hint="default" w:ascii="PT Astra Serif" w:hAnsi="PT Astra Serif" w:cs="Times New Roman"/>
        <w:b w:val="0"/>
        <w:bCs w:val="0"/>
        <w:i w:val="0"/>
        <w:iCs w:val="0"/>
        <w:caps w:val="0"/>
        <w:smallCaps w:val="0"/>
        <w:strike w:val="0"/>
        <w:dstrike w:val="0"/>
        <w:vanish w:val="0"/>
        <w:color w:val="auto"/>
        <w:spacing w:val="0"/>
        <w:kern w:val="0"/>
        <w:position w:val="0"/>
        <w:sz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3" w:tentative="0">
      <w:start w:val="1"/>
      <w:numFmt w:val="decimal"/>
      <w:pStyle w:val="39"/>
      <w:suff w:val="space"/>
      <w:lvlText w:val="%1.%2.%3.%4."/>
      <w:lvlJc w:val="left"/>
      <w:pPr>
        <w:ind w:left="0" w:firstLine="709"/>
      </w:pPr>
      <w:rPr>
        <w:rFonts w:hint="default" w:ascii="PT Astra Serif" w:hAnsi="PT Astra Serif" w:cs="Times New Roman"/>
        <w:b w:val="0"/>
        <w:bCs w:val="0"/>
        <w:i w:val="0"/>
        <w:iCs w:val="0"/>
        <w:caps w:val="0"/>
        <w:smallCaps w:val="0"/>
        <w:strike w:val="0"/>
        <w:dstrike w:val="0"/>
        <w:vanish w:val="0"/>
        <w:color w:val="auto"/>
        <w:spacing w:val="0"/>
        <w:kern w:val="0"/>
        <w:position w:val="0"/>
        <w:sz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4" w:tentative="0">
      <w:start w:val="1"/>
      <w:numFmt w:val="decimal"/>
      <w:pStyle w:val="40"/>
      <w:suff w:val="space"/>
      <w:lvlText w:val="%1.%2.%3.%4.%5."/>
      <w:lvlJc w:val="left"/>
      <w:pPr>
        <w:ind w:left="0" w:firstLine="709"/>
      </w:pPr>
      <w:rPr>
        <w:rFonts w:hint="default" w:ascii="PT Astra Serif" w:hAnsi="PT Astra Serif"/>
        <w:b w:val="0"/>
        <w:i w:val="0"/>
        <w:color w:val="auto"/>
        <w:sz w:val="24"/>
      </w:rPr>
    </w:lvl>
    <w:lvl w:ilvl="5" w:tentative="0">
      <w:start w:val="1"/>
      <w:numFmt w:val="decimal"/>
      <w:lvlText w:val="%1.%2.%3.%4.%5.%6."/>
      <w:lvlJc w:val="left"/>
      <w:pPr>
        <w:ind w:left="0" w:firstLine="709"/>
      </w:pPr>
      <w:rPr>
        <w:rFonts w:hint="default"/>
      </w:rPr>
    </w:lvl>
    <w:lvl w:ilvl="6" w:tentative="0">
      <w:start w:val="1"/>
      <w:numFmt w:val="decimal"/>
      <w:lvlText w:val="%1.%2.%3.%4.%5.%6.%7."/>
      <w:lvlJc w:val="left"/>
      <w:pPr>
        <w:ind w:left="0" w:firstLine="709"/>
      </w:pPr>
      <w:rPr>
        <w:rFonts w:hint="default"/>
      </w:rPr>
    </w:lvl>
    <w:lvl w:ilvl="7" w:tentative="0">
      <w:start w:val="1"/>
      <w:numFmt w:val="decimal"/>
      <w:lvlText w:val="%1.%2.%3.%4.%5.%6.%7.%8."/>
      <w:lvlJc w:val="left"/>
      <w:pPr>
        <w:ind w:left="0" w:firstLine="709"/>
      </w:pPr>
      <w:rPr>
        <w:rFonts w:hint="default"/>
      </w:rPr>
    </w:lvl>
    <w:lvl w:ilvl="8" w:tentative="0">
      <w:start w:val="1"/>
      <w:numFmt w:val="decimal"/>
      <w:lvlText w:val="%1.%2.%3.%4.%5.%6.%7.%8.%9."/>
      <w:lvlJc w:val="left"/>
      <w:pPr>
        <w:ind w:left="0" w:firstLine="709"/>
      </w:pPr>
      <w:rPr>
        <w:rFonts w:hint="default"/>
      </w:rPr>
    </w:lvl>
  </w:abstractNum>
  <w:abstractNum w:abstractNumId="16">
    <w:nsid w:val="6BAB4450"/>
    <w:multiLevelType w:val="multilevel"/>
    <w:tmpl w:val="6BAB4450"/>
    <w:lvl w:ilvl="0" w:tentative="0">
      <w:start w:val="1"/>
      <w:numFmt w:val="bullet"/>
      <w:pStyle w:val="109"/>
      <w:suff w:val="space"/>
      <w:lvlText w:val="•"/>
      <w:lvlJc w:val="left"/>
      <w:pPr>
        <w:ind w:left="510" w:hanging="170"/>
      </w:pPr>
      <w:rPr>
        <w:rFonts w:hint="default" w:ascii="PT Astra Serif" w:hAnsi="PT Astra Serif"/>
      </w:rPr>
    </w:lvl>
    <w:lvl w:ilvl="1" w:tentative="0">
      <w:start w:val="1"/>
      <w:numFmt w:val="bullet"/>
      <w:lvlText w:val="o"/>
      <w:lvlJc w:val="left"/>
      <w:pPr>
        <w:ind w:left="1780" w:hanging="360"/>
      </w:pPr>
      <w:rPr>
        <w:rFonts w:hint="default" w:ascii="Courier New" w:hAnsi="Courier New" w:cs="Courier New"/>
      </w:rPr>
    </w:lvl>
    <w:lvl w:ilvl="2" w:tentative="0">
      <w:start w:val="1"/>
      <w:numFmt w:val="bullet"/>
      <w:lvlText w:val=""/>
      <w:lvlJc w:val="left"/>
      <w:pPr>
        <w:ind w:left="2500" w:hanging="360"/>
      </w:pPr>
      <w:rPr>
        <w:rFonts w:hint="default" w:ascii="Wingdings" w:hAnsi="Wingdings"/>
      </w:rPr>
    </w:lvl>
    <w:lvl w:ilvl="3" w:tentative="0">
      <w:start w:val="1"/>
      <w:numFmt w:val="bullet"/>
      <w:lvlText w:val=""/>
      <w:lvlJc w:val="left"/>
      <w:pPr>
        <w:ind w:left="3220" w:hanging="360"/>
      </w:pPr>
      <w:rPr>
        <w:rFonts w:hint="default" w:ascii="Symbol" w:hAnsi="Symbol"/>
      </w:rPr>
    </w:lvl>
    <w:lvl w:ilvl="4" w:tentative="0">
      <w:start w:val="1"/>
      <w:numFmt w:val="bullet"/>
      <w:lvlText w:val="o"/>
      <w:lvlJc w:val="left"/>
      <w:pPr>
        <w:ind w:left="3940" w:hanging="360"/>
      </w:pPr>
      <w:rPr>
        <w:rFonts w:hint="default" w:ascii="Courier New" w:hAnsi="Courier New" w:cs="Courier New"/>
      </w:rPr>
    </w:lvl>
    <w:lvl w:ilvl="5" w:tentative="0">
      <w:start w:val="1"/>
      <w:numFmt w:val="bullet"/>
      <w:lvlText w:val=""/>
      <w:lvlJc w:val="left"/>
      <w:pPr>
        <w:ind w:left="4660" w:hanging="360"/>
      </w:pPr>
      <w:rPr>
        <w:rFonts w:hint="default" w:ascii="Wingdings" w:hAnsi="Wingdings"/>
      </w:rPr>
    </w:lvl>
    <w:lvl w:ilvl="6" w:tentative="0">
      <w:start w:val="1"/>
      <w:numFmt w:val="bullet"/>
      <w:lvlText w:val=""/>
      <w:lvlJc w:val="left"/>
      <w:pPr>
        <w:ind w:left="5380" w:hanging="360"/>
      </w:pPr>
      <w:rPr>
        <w:rFonts w:hint="default" w:ascii="Symbol" w:hAnsi="Symbol"/>
      </w:rPr>
    </w:lvl>
    <w:lvl w:ilvl="7" w:tentative="0">
      <w:start w:val="1"/>
      <w:numFmt w:val="bullet"/>
      <w:lvlText w:val="o"/>
      <w:lvlJc w:val="left"/>
      <w:pPr>
        <w:ind w:left="6100" w:hanging="360"/>
      </w:pPr>
      <w:rPr>
        <w:rFonts w:hint="default" w:ascii="Courier New" w:hAnsi="Courier New" w:cs="Courier New"/>
      </w:rPr>
    </w:lvl>
    <w:lvl w:ilvl="8" w:tentative="0">
      <w:start w:val="1"/>
      <w:numFmt w:val="bullet"/>
      <w:lvlText w:val=""/>
      <w:lvlJc w:val="left"/>
      <w:pPr>
        <w:ind w:left="6820" w:hanging="360"/>
      </w:pPr>
      <w:rPr>
        <w:rFonts w:hint="default" w:ascii="Wingdings" w:hAnsi="Wingdings"/>
      </w:rPr>
    </w:lvl>
  </w:abstractNum>
  <w:abstractNum w:abstractNumId="17">
    <w:nsid w:val="7AF37EB2"/>
    <w:multiLevelType w:val="multilevel"/>
    <w:tmpl w:val="7AF37EB2"/>
    <w:lvl w:ilvl="0" w:tentative="0">
      <w:start w:val="1"/>
      <w:numFmt w:val="bullet"/>
      <w:pStyle w:val="104"/>
      <w:suff w:val="space"/>
      <w:lvlText w:val=""/>
      <w:lvlJc w:val="left"/>
      <w:pPr>
        <w:ind w:left="340" w:hanging="227"/>
      </w:pPr>
      <w:rPr>
        <w:rFonts w:hint="default" w:ascii="Symbol" w:hAnsi="Symbol"/>
        <w:b w:val="0"/>
        <w:i w:val="0"/>
        <w:color w:val="auto"/>
        <w:sz w:val="24"/>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3"/>
  </w:num>
  <w:num w:numId="2">
    <w:abstractNumId w:val="2"/>
  </w:num>
  <w:num w:numId="3">
    <w:abstractNumId w:val="7"/>
  </w:num>
  <w:num w:numId="4">
    <w:abstractNumId w:val="15"/>
  </w:num>
  <w:num w:numId="5">
    <w:abstractNumId w:val="10"/>
  </w:num>
  <w:num w:numId="6">
    <w:abstractNumId w:val="4"/>
  </w:num>
  <w:num w:numId="7">
    <w:abstractNumId w:val="6"/>
  </w:num>
  <w:num w:numId="8">
    <w:abstractNumId w:val="8"/>
  </w:num>
  <w:num w:numId="9">
    <w:abstractNumId w:val="5"/>
  </w:num>
  <w:num w:numId="10">
    <w:abstractNumId w:val="1"/>
  </w:num>
  <w:num w:numId="11">
    <w:abstractNumId w:val="3"/>
  </w:num>
  <w:num w:numId="12">
    <w:abstractNumId w:val="0"/>
  </w:num>
  <w:num w:numId="13">
    <w:abstractNumId w:val="14"/>
  </w:num>
  <w:num w:numId="14">
    <w:abstractNumId w:val="12"/>
  </w:num>
  <w:num w:numId="15">
    <w:abstractNumId w:val="17"/>
  </w:num>
  <w:num w:numId="16">
    <w:abstractNumId w:val="11"/>
  </w:num>
  <w:num w:numId="17">
    <w:abstractNumId w:val="16"/>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num>
  <w:num w:numId="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stylePaneFormatFilter w:val="B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1"/>
  <w:attachedTemplate r:id="rId1"/>
  <w:documentProtection w:enforcement="0"/>
  <w:defaultTabStop w:val="708"/>
  <w:characterSpacingControl w:val="doNotCompress"/>
  <w:footnotePr>
    <w:numRestart w:val="eachPage"/>
    <w:footnote w:id="12"/>
    <w:footnote w:id="13"/>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61A8"/>
    <w:rsid w:val="0000038A"/>
    <w:rsid w:val="00000A52"/>
    <w:rsid w:val="00000CC9"/>
    <w:rsid w:val="000012D1"/>
    <w:rsid w:val="00001354"/>
    <w:rsid w:val="0000181B"/>
    <w:rsid w:val="000025B5"/>
    <w:rsid w:val="00002A44"/>
    <w:rsid w:val="00002AA6"/>
    <w:rsid w:val="00002B2D"/>
    <w:rsid w:val="000033FC"/>
    <w:rsid w:val="00003450"/>
    <w:rsid w:val="0000362F"/>
    <w:rsid w:val="00003C0D"/>
    <w:rsid w:val="00004C00"/>
    <w:rsid w:val="000061D2"/>
    <w:rsid w:val="00006331"/>
    <w:rsid w:val="000063C4"/>
    <w:rsid w:val="000063F3"/>
    <w:rsid w:val="00006A12"/>
    <w:rsid w:val="00006A14"/>
    <w:rsid w:val="00007218"/>
    <w:rsid w:val="0000771D"/>
    <w:rsid w:val="00007A69"/>
    <w:rsid w:val="000102C3"/>
    <w:rsid w:val="00010629"/>
    <w:rsid w:val="00010B4E"/>
    <w:rsid w:val="00010D9F"/>
    <w:rsid w:val="00011578"/>
    <w:rsid w:val="00011A37"/>
    <w:rsid w:val="00011F93"/>
    <w:rsid w:val="0001247D"/>
    <w:rsid w:val="000125DF"/>
    <w:rsid w:val="0001277E"/>
    <w:rsid w:val="00012D90"/>
    <w:rsid w:val="00013074"/>
    <w:rsid w:val="000130C5"/>
    <w:rsid w:val="000141DF"/>
    <w:rsid w:val="0001425C"/>
    <w:rsid w:val="000149FB"/>
    <w:rsid w:val="00014EB4"/>
    <w:rsid w:val="00014F6E"/>
    <w:rsid w:val="00015DC6"/>
    <w:rsid w:val="000163A9"/>
    <w:rsid w:val="0001659F"/>
    <w:rsid w:val="000165DA"/>
    <w:rsid w:val="000167DC"/>
    <w:rsid w:val="00016F70"/>
    <w:rsid w:val="00017846"/>
    <w:rsid w:val="00017B8A"/>
    <w:rsid w:val="00020315"/>
    <w:rsid w:val="00020506"/>
    <w:rsid w:val="00020C34"/>
    <w:rsid w:val="00020DEE"/>
    <w:rsid w:val="00021635"/>
    <w:rsid w:val="00021831"/>
    <w:rsid w:val="00021CE3"/>
    <w:rsid w:val="000228EA"/>
    <w:rsid w:val="00022FC8"/>
    <w:rsid w:val="000232D0"/>
    <w:rsid w:val="00023649"/>
    <w:rsid w:val="00023C84"/>
    <w:rsid w:val="000248CC"/>
    <w:rsid w:val="00025003"/>
    <w:rsid w:val="0002579C"/>
    <w:rsid w:val="0002614B"/>
    <w:rsid w:val="0002659B"/>
    <w:rsid w:val="00026C7A"/>
    <w:rsid w:val="000276A3"/>
    <w:rsid w:val="0002773A"/>
    <w:rsid w:val="0003043D"/>
    <w:rsid w:val="00032061"/>
    <w:rsid w:val="000328EA"/>
    <w:rsid w:val="00032A98"/>
    <w:rsid w:val="00032B27"/>
    <w:rsid w:val="00032FFB"/>
    <w:rsid w:val="00033095"/>
    <w:rsid w:val="0003349C"/>
    <w:rsid w:val="00033519"/>
    <w:rsid w:val="0003363D"/>
    <w:rsid w:val="00033827"/>
    <w:rsid w:val="00033ECD"/>
    <w:rsid w:val="00034158"/>
    <w:rsid w:val="00034A1C"/>
    <w:rsid w:val="0003545A"/>
    <w:rsid w:val="0003559E"/>
    <w:rsid w:val="0003559F"/>
    <w:rsid w:val="000359BB"/>
    <w:rsid w:val="000359DB"/>
    <w:rsid w:val="00036041"/>
    <w:rsid w:val="0003699A"/>
    <w:rsid w:val="00036D09"/>
    <w:rsid w:val="000372FF"/>
    <w:rsid w:val="00037B37"/>
    <w:rsid w:val="00037D1D"/>
    <w:rsid w:val="00037ED3"/>
    <w:rsid w:val="000404F2"/>
    <w:rsid w:val="00040526"/>
    <w:rsid w:val="00040878"/>
    <w:rsid w:val="000416C8"/>
    <w:rsid w:val="00041CF7"/>
    <w:rsid w:val="00041E65"/>
    <w:rsid w:val="000422BB"/>
    <w:rsid w:val="00042440"/>
    <w:rsid w:val="00042983"/>
    <w:rsid w:val="00043154"/>
    <w:rsid w:val="00043372"/>
    <w:rsid w:val="00043758"/>
    <w:rsid w:val="000437A8"/>
    <w:rsid w:val="00043A04"/>
    <w:rsid w:val="000444EA"/>
    <w:rsid w:val="0004498D"/>
    <w:rsid w:val="00045819"/>
    <w:rsid w:val="0004650F"/>
    <w:rsid w:val="00046620"/>
    <w:rsid w:val="00046BE7"/>
    <w:rsid w:val="00046D15"/>
    <w:rsid w:val="00046ED8"/>
    <w:rsid w:val="00047982"/>
    <w:rsid w:val="00047B12"/>
    <w:rsid w:val="00047CAA"/>
    <w:rsid w:val="00050C89"/>
    <w:rsid w:val="000517A3"/>
    <w:rsid w:val="00051D56"/>
    <w:rsid w:val="000527B9"/>
    <w:rsid w:val="00052D76"/>
    <w:rsid w:val="00052FB6"/>
    <w:rsid w:val="00054208"/>
    <w:rsid w:val="00054610"/>
    <w:rsid w:val="0005495A"/>
    <w:rsid w:val="000549EB"/>
    <w:rsid w:val="00054B7D"/>
    <w:rsid w:val="00054DA3"/>
    <w:rsid w:val="000554A4"/>
    <w:rsid w:val="000559D3"/>
    <w:rsid w:val="00055BC5"/>
    <w:rsid w:val="00055F18"/>
    <w:rsid w:val="0005600D"/>
    <w:rsid w:val="00057534"/>
    <w:rsid w:val="000575DC"/>
    <w:rsid w:val="0005799F"/>
    <w:rsid w:val="000600E1"/>
    <w:rsid w:val="00060391"/>
    <w:rsid w:val="00061794"/>
    <w:rsid w:val="00061AB2"/>
    <w:rsid w:val="00061BFD"/>
    <w:rsid w:val="00062B8F"/>
    <w:rsid w:val="00062FD6"/>
    <w:rsid w:val="00063286"/>
    <w:rsid w:val="00063524"/>
    <w:rsid w:val="00063B5F"/>
    <w:rsid w:val="00064235"/>
    <w:rsid w:val="000655A0"/>
    <w:rsid w:val="0006746E"/>
    <w:rsid w:val="000702EC"/>
    <w:rsid w:val="000723F0"/>
    <w:rsid w:val="000727DC"/>
    <w:rsid w:val="00072815"/>
    <w:rsid w:val="000730E1"/>
    <w:rsid w:val="00074791"/>
    <w:rsid w:val="00075103"/>
    <w:rsid w:val="000751A7"/>
    <w:rsid w:val="000753A5"/>
    <w:rsid w:val="000753E3"/>
    <w:rsid w:val="0007547B"/>
    <w:rsid w:val="00075E61"/>
    <w:rsid w:val="00076196"/>
    <w:rsid w:val="00077B86"/>
    <w:rsid w:val="000809AC"/>
    <w:rsid w:val="00080DFE"/>
    <w:rsid w:val="0008116E"/>
    <w:rsid w:val="000811AF"/>
    <w:rsid w:val="0008132D"/>
    <w:rsid w:val="0008137B"/>
    <w:rsid w:val="00081A27"/>
    <w:rsid w:val="00081AD6"/>
    <w:rsid w:val="00081B66"/>
    <w:rsid w:val="00081B91"/>
    <w:rsid w:val="00081BD0"/>
    <w:rsid w:val="00081E29"/>
    <w:rsid w:val="000822DB"/>
    <w:rsid w:val="000823EC"/>
    <w:rsid w:val="00082DAF"/>
    <w:rsid w:val="00082FA6"/>
    <w:rsid w:val="000843A3"/>
    <w:rsid w:val="000848E5"/>
    <w:rsid w:val="00084CDB"/>
    <w:rsid w:val="00084F62"/>
    <w:rsid w:val="0008546E"/>
    <w:rsid w:val="0008573C"/>
    <w:rsid w:val="000858B7"/>
    <w:rsid w:val="00085B7B"/>
    <w:rsid w:val="00085D7C"/>
    <w:rsid w:val="00086BE3"/>
    <w:rsid w:val="00086CB4"/>
    <w:rsid w:val="000875F3"/>
    <w:rsid w:val="0008792F"/>
    <w:rsid w:val="00090E52"/>
    <w:rsid w:val="00091495"/>
    <w:rsid w:val="00092583"/>
    <w:rsid w:val="00094536"/>
    <w:rsid w:val="00094C36"/>
    <w:rsid w:val="00094ED6"/>
    <w:rsid w:val="00094F70"/>
    <w:rsid w:val="000951D8"/>
    <w:rsid w:val="0009524E"/>
    <w:rsid w:val="000954F7"/>
    <w:rsid w:val="0009611C"/>
    <w:rsid w:val="000968B3"/>
    <w:rsid w:val="00097F0F"/>
    <w:rsid w:val="00097F8A"/>
    <w:rsid w:val="000A0760"/>
    <w:rsid w:val="000A1AD8"/>
    <w:rsid w:val="000A1B7E"/>
    <w:rsid w:val="000A1FEA"/>
    <w:rsid w:val="000A2651"/>
    <w:rsid w:val="000A3B8D"/>
    <w:rsid w:val="000A3BA4"/>
    <w:rsid w:val="000A47F0"/>
    <w:rsid w:val="000A4EAC"/>
    <w:rsid w:val="000A52C5"/>
    <w:rsid w:val="000A6A11"/>
    <w:rsid w:val="000A6B4F"/>
    <w:rsid w:val="000A7410"/>
    <w:rsid w:val="000A78EE"/>
    <w:rsid w:val="000A7E73"/>
    <w:rsid w:val="000A7F13"/>
    <w:rsid w:val="000A7F72"/>
    <w:rsid w:val="000B010A"/>
    <w:rsid w:val="000B075A"/>
    <w:rsid w:val="000B07AC"/>
    <w:rsid w:val="000B1120"/>
    <w:rsid w:val="000B1325"/>
    <w:rsid w:val="000B1F51"/>
    <w:rsid w:val="000B2614"/>
    <w:rsid w:val="000B35DC"/>
    <w:rsid w:val="000B39DF"/>
    <w:rsid w:val="000B43E6"/>
    <w:rsid w:val="000B448B"/>
    <w:rsid w:val="000B4662"/>
    <w:rsid w:val="000B4CE0"/>
    <w:rsid w:val="000B4E2F"/>
    <w:rsid w:val="000B501C"/>
    <w:rsid w:val="000B55A7"/>
    <w:rsid w:val="000B645E"/>
    <w:rsid w:val="000B6AD6"/>
    <w:rsid w:val="000C036E"/>
    <w:rsid w:val="000C05BA"/>
    <w:rsid w:val="000C0743"/>
    <w:rsid w:val="000C215E"/>
    <w:rsid w:val="000C273C"/>
    <w:rsid w:val="000C3053"/>
    <w:rsid w:val="000C4131"/>
    <w:rsid w:val="000C47D5"/>
    <w:rsid w:val="000C4B86"/>
    <w:rsid w:val="000C51B8"/>
    <w:rsid w:val="000C53BC"/>
    <w:rsid w:val="000C5C87"/>
    <w:rsid w:val="000C5ED6"/>
    <w:rsid w:val="000C5F31"/>
    <w:rsid w:val="000C67F6"/>
    <w:rsid w:val="000C6B50"/>
    <w:rsid w:val="000C7ED0"/>
    <w:rsid w:val="000D028F"/>
    <w:rsid w:val="000D04D0"/>
    <w:rsid w:val="000D1060"/>
    <w:rsid w:val="000D1388"/>
    <w:rsid w:val="000D1CBA"/>
    <w:rsid w:val="000D1D72"/>
    <w:rsid w:val="000D283B"/>
    <w:rsid w:val="000D2A70"/>
    <w:rsid w:val="000D2B66"/>
    <w:rsid w:val="000D34AE"/>
    <w:rsid w:val="000D395F"/>
    <w:rsid w:val="000D4530"/>
    <w:rsid w:val="000D4564"/>
    <w:rsid w:val="000D50A8"/>
    <w:rsid w:val="000D5405"/>
    <w:rsid w:val="000D547E"/>
    <w:rsid w:val="000D5FF9"/>
    <w:rsid w:val="000D602D"/>
    <w:rsid w:val="000D61A2"/>
    <w:rsid w:val="000D6271"/>
    <w:rsid w:val="000D62D8"/>
    <w:rsid w:val="000D7470"/>
    <w:rsid w:val="000D7B9B"/>
    <w:rsid w:val="000E0167"/>
    <w:rsid w:val="000E040C"/>
    <w:rsid w:val="000E0627"/>
    <w:rsid w:val="000E21CE"/>
    <w:rsid w:val="000E252B"/>
    <w:rsid w:val="000E265D"/>
    <w:rsid w:val="000E277A"/>
    <w:rsid w:val="000E2C4E"/>
    <w:rsid w:val="000E33CB"/>
    <w:rsid w:val="000E3568"/>
    <w:rsid w:val="000E38BE"/>
    <w:rsid w:val="000E3B8D"/>
    <w:rsid w:val="000E3E5B"/>
    <w:rsid w:val="000E417E"/>
    <w:rsid w:val="000E418A"/>
    <w:rsid w:val="000E502B"/>
    <w:rsid w:val="000E5650"/>
    <w:rsid w:val="000E5B8B"/>
    <w:rsid w:val="000E6255"/>
    <w:rsid w:val="000E6271"/>
    <w:rsid w:val="000E63A8"/>
    <w:rsid w:val="000E643A"/>
    <w:rsid w:val="000E6733"/>
    <w:rsid w:val="000E673A"/>
    <w:rsid w:val="000E6855"/>
    <w:rsid w:val="000E6F61"/>
    <w:rsid w:val="000F0B46"/>
    <w:rsid w:val="000F0D77"/>
    <w:rsid w:val="000F150C"/>
    <w:rsid w:val="000F1780"/>
    <w:rsid w:val="000F1804"/>
    <w:rsid w:val="000F1EDA"/>
    <w:rsid w:val="000F1EF9"/>
    <w:rsid w:val="000F242E"/>
    <w:rsid w:val="000F27D6"/>
    <w:rsid w:val="000F287F"/>
    <w:rsid w:val="000F31AC"/>
    <w:rsid w:val="000F3315"/>
    <w:rsid w:val="000F34ED"/>
    <w:rsid w:val="000F38D5"/>
    <w:rsid w:val="000F3C35"/>
    <w:rsid w:val="000F3F79"/>
    <w:rsid w:val="000F3FA0"/>
    <w:rsid w:val="000F41D7"/>
    <w:rsid w:val="000F4487"/>
    <w:rsid w:val="000F450C"/>
    <w:rsid w:val="000F4F23"/>
    <w:rsid w:val="000F517D"/>
    <w:rsid w:val="000F58D0"/>
    <w:rsid w:val="000F609C"/>
    <w:rsid w:val="000F6773"/>
    <w:rsid w:val="000F6784"/>
    <w:rsid w:val="000F6A57"/>
    <w:rsid w:val="000F6BFD"/>
    <w:rsid w:val="000F6C70"/>
    <w:rsid w:val="000F6D0A"/>
    <w:rsid w:val="000F7239"/>
    <w:rsid w:val="000F74E2"/>
    <w:rsid w:val="000F79C9"/>
    <w:rsid w:val="000F7C10"/>
    <w:rsid w:val="000F7D7F"/>
    <w:rsid w:val="00101B2E"/>
    <w:rsid w:val="0010201F"/>
    <w:rsid w:val="001021AC"/>
    <w:rsid w:val="00102248"/>
    <w:rsid w:val="001024D9"/>
    <w:rsid w:val="00102693"/>
    <w:rsid w:val="00102872"/>
    <w:rsid w:val="001028E0"/>
    <w:rsid w:val="00102B69"/>
    <w:rsid w:val="00102D7B"/>
    <w:rsid w:val="0010536C"/>
    <w:rsid w:val="00105797"/>
    <w:rsid w:val="00105AEF"/>
    <w:rsid w:val="00106908"/>
    <w:rsid w:val="001069B4"/>
    <w:rsid w:val="00106A67"/>
    <w:rsid w:val="00106C25"/>
    <w:rsid w:val="00107806"/>
    <w:rsid w:val="00110908"/>
    <w:rsid w:val="00110AAE"/>
    <w:rsid w:val="00110AE3"/>
    <w:rsid w:val="00110CA1"/>
    <w:rsid w:val="0011169C"/>
    <w:rsid w:val="00112A21"/>
    <w:rsid w:val="00112B40"/>
    <w:rsid w:val="00113887"/>
    <w:rsid w:val="00114517"/>
    <w:rsid w:val="0011458B"/>
    <w:rsid w:val="00114ADF"/>
    <w:rsid w:val="00114F38"/>
    <w:rsid w:val="0011524A"/>
    <w:rsid w:val="00115B0F"/>
    <w:rsid w:val="00115D1D"/>
    <w:rsid w:val="00116339"/>
    <w:rsid w:val="001166FC"/>
    <w:rsid w:val="0011725C"/>
    <w:rsid w:val="001173A2"/>
    <w:rsid w:val="001178AB"/>
    <w:rsid w:val="00117949"/>
    <w:rsid w:val="00120352"/>
    <w:rsid w:val="00120B52"/>
    <w:rsid w:val="00120D53"/>
    <w:rsid w:val="00121A05"/>
    <w:rsid w:val="00121BE2"/>
    <w:rsid w:val="00123121"/>
    <w:rsid w:val="00123337"/>
    <w:rsid w:val="001237CF"/>
    <w:rsid w:val="00123988"/>
    <w:rsid w:val="00123B19"/>
    <w:rsid w:val="00123FAE"/>
    <w:rsid w:val="001240C1"/>
    <w:rsid w:val="00124191"/>
    <w:rsid w:val="00124DE3"/>
    <w:rsid w:val="00124FD4"/>
    <w:rsid w:val="001258F4"/>
    <w:rsid w:val="00125FD2"/>
    <w:rsid w:val="00126522"/>
    <w:rsid w:val="00126BDB"/>
    <w:rsid w:val="0012752E"/>
    <w:rsid w:val="00130213"/>
    <w:rsid w:val="00130234"/>
    <w:rsid w:val="00130821"/>
    <w:rsid w:val="00130FD1"/>
    <w:rsid w:val="00131648"/>
    <w:rsid w:val="00131D63"/>
    <w:rsid w:val="00132189"/>
    <w:rsid w:val="001322DF"/>
    <w:rsid w:val="00134101"/>
    <w:rsid w:val="0013421A"/>
    <w:rsid w:val="00134399"/>
    <w:rsid w:val="00134C6D"/>
    <w:rsid w:val="00134CF8"/>
    <w:rsid w:val="001353F9"/>
    <w:rsid w:val="001354E7"/>
    <w:rsid w:val="00135711"/>
    <w:rsid w:val="00135B71"/>
    <w:rsid w:val="00135B72"/>
    <w:rsid w:val="00136154"/>
    <w:rsid w:val="001361CD"/>
    <w:rsid w:val="001364C9"/>
    <w:rsid w:val="00136526"/>
    <w:rsid w:val="001367DB"/>
    <w:rsid w:val="00136892"/>
    <w:rsid w:val="001368E1"/>
    <w:rsid w:val="00137490"/>
    <w:rsid w:val="001374EB"/>
    <w:rsid w:val="001376F9"/>
    <w:rsid w:val="00140A16"/>
    <w:rsid w:val="00140F3B"/>
    <w:rsid w:val="001411CA"/>
    <w:rsid w:val="00141BC5"/>
    <w:rsid w:val="001421BD"/>
    <w:rsid w:val="00142796"/>
    <w:rsid w:val="0014288C"/>
    <w:rsid w:val="00143504"/>
    <w:rsid w:val="0014361A"/>
    <w:rsid w:val="0014374C"/>
    <w:rsid w:val="00143D19"/>
    <w:rsid w:val="00145F2D"/>
    <w:rsid w:val="001462EE"/>
    <w:rsid w:val="001465A2"/>
    <w:rsid w:val="0014707B"/>
    <w:rsid w:val="001477C2"/>
    <w:rsid w:val="001479FE"/>
    <w:rsid w:val="001501C4"/>
    <w:rsid w:val="00150D93"/>
    <w:rsid w:val="001511DF"/>
    <w:rsid w:val="00151263"/>
    <w:rsid w:val="001512B5"/>
    <w:rsid w:val="0015168B"/>
    <w:rsid w:val="00151B18"/>
    <w:rsid w:val="00151D4A"/>
    <w:rsid w:val="001520E3"/>
    <w:rsid w:val="00153367"/>
    <w:rsid w:val="0015352F"/>
    <w:rsid w:val="00153BCE"/>
    <w:rsid w:val="00153F18"/>
    <w:rsid w:val="0015432F"/>
    <w:rsid w:val="00154397"/>
    <w:rsid w:val="0015467A"/>
    <w:rsid w:val="00154681"/>
    <w:rsid w:val="001556F5"/>
    <w:rsid w:val="00155F65"/>
    <w:rsid w:val="00155F7E"/>
    <w:rsid w:val="00156C33"/>
    <w:rsid w:val="00156D54"/>
    <w:rsid w:val="00157445"/>
    <w:rsid w:val="00157AB8"/>
    <w:rsid w:val="00160041"/>
    <w:rsid w:val="00160170"/>
    <w:rsid w:val="00160593"/>
    <w:rsid w:val="00160695"/>
    <w:rsid w:val="00160F07"/>
    <w:rsid w:val="001610A5"/>
    <w:rsid w:val="00161ADC"/>
    <w:rsid w:val="0016244B"/>
    <w:rsid w:val="001628E9"/>
    <w:rsid w:val="00162C3B"/>
    <w:rsid w:val="00162CF1"/>
    <w:rsid w:val="00162D3B"/>
    <w:rsid w:val="00162DE1"/>
    <w:rsid w:val="00163343"/>
    <w:rsid w:val="0016445B"/>
    <w:rsid w:val="00164489"/>
    <w:rsid w:val="00164D38"/>
    <w:rsid w:val="001655E3"/>
    <w:rsid w:val="001661CE"/>
    <w:rsid w:val="00166368"/>
    <w:rsid w:val="001664E7"/>
    <w:rsid w:val="00166826"/>
    <w:rsid w:val="00166BCE"/>
    <w:rsid w:val="00167300"/>
    <w:rsid w:val="00167321"/>
    <w:rsid w:val="00167520"/>
    <w:rsid w:val="00167CE5"/>
    <w:rsid w:val="00170327"/>
    <w:rsid w:val="001705BC"/>
    <w:rsid w:val="001706DA"/>
    <w:rsid w:val="0017076C"/>
    <w:rsid w:val="0017161F"/>
    <w:rsid w:val="00172DF5"/>
    <w:rsid w:val="00173302"/>
    <w:rsid w:val="0017356F"/>
    <w:rsid w:val="00173A05"/>
    <w:rsid w:val="00173A7C"/>
    <w:rsid w:val="00173AE3"/>
    <w:rsid w:val="00173AEB"/>
    <w:rsid w:val="00174754"/>
    <w:rsid w:val="0017491A"/>
    <w:rsid w:val="001751A0"/>
    <w:rsid w:val="001752B3"/>
    <w:rsid w:val="001757DF"/>
    <w:rsid w:val="001758EF"/>
    <w:rsid w:val="00175AF9"/>
    <w:rsid w:val="00176253"/>
    <w:rsid w:val="0017692A"/>
    <w:rsid w:val="001772CE"/>
    <w:rsid w:val="001776F0"/>
    <w:rsid w:val="001779A6"/>
    <w:rsid w:val="00177E44"/>
    <w:rsid w:val="00177F36"/>
    <w:rsid w:val="00180175"/>
    <w:rsid w:val="00180DB9"/>
    <w:rsid w:val="00181636"/>
    <w:rsid w:val="00181AC0"/>
    <w:rsid w:val="001824D0"/>
    <w:rsid w:val="001835E2"/>
    <w:rsid w:val="0018370A"/>
    <w:rsid w:val="001848A6"/>
    <w:rsid w:val="00184921"/>
    <w:rsid w:val="00184A03"/>
    <w:rsid w:val="00184A39"/>
    <w:rsid w:val="00184E6B"/>
    <w:rsid w:val="001850BD"/>
    <w:rsid w:val="00185C6C"/>
    <w:rsid w:val="00186507"/>
    <w:rsid w:val="00186DA9"/>
    <w:rsid w:val="00186E10"/>
    <w:rsid w:val="001873CE"/>
    <w:rsid w:val="001878C9"/>
    <w:rsid w:val="00190BE7"/>
    <w:rsid w:val="00190DE6"/>
    <w:rsid w:val="0019163B"/>
    <w:rsid w:val="00191911"/>
    <w:rsid w:val="00191F7F"/>
    <w:rsid w:val="00192CF9"/>
    <w:rsid w:val="00193584"/>
    <w:rsid w:val="00193723"/>
    <w:rsid w:val="00193B3B"/>
    <w:rsid w:val="00193C46"/>
    <w:rsid w:val="00193F46"/>
    <w:rsid w:val="00194313"/>
    <w:rsid w:val="00194575"/>
    <w:rsid w:val="00195210"/>
    <w:rsid w:val="001955FE"/>
    <w:rsid w:val="00196AB4"/>
    <w:rsid w:val="00196D50"/>
    <w:rsid w:val="00197048"/>
    <w:rsid w:val="00197A25"/>
    <w:rsid w:val="00197EF2"/>
    <w:rsid w:val="001A03E8"/>
    <w:rsid w:val="001A0EA2"/>
    <w:rsid w:val="001A1B63"/>
    <w:rsid w:val="001A1F61"/>
    <w:rsid w:val="001A2EBE"/>
    <w:rsid w:val="001A3F74"/>
    <w:rsid w:val="001A411C"/>
    <w:rsid w:val="001A433F"/>
    <w:rsid w:val="001A4A99"/>
    <w:rsid w:val="001A57B3"/>
    <w:rsid w:val="001A593A"/>
    <w:rsid w:val="001A640C"/>
    <w:rsid w:val="001A6D72"/>
    <w:rsid w:val="001A71C0"/>
    <w:rsid w:val="001A784F"/>
    <w:rsid w:val="001A78FC"/>
    <w:rsid w:val="001A7AA3"/>
    <w:rsid w:val="001B0108"/>
    <w:rsid w:val="001B09A6"/>
    <w:rsid w:val="001B235C"/>
    <w:rsid w:val="001B248F"/>
    <w:rsid w:val="001B271D"/>
    <w:rsid w:val="001B2A41"/>
    <w:rsid w:val="001B2AA0"/>
    <w:rsid w:val="001B2B88"/>
    <w:rsid w:val="001B3229"/>
    <w:rsid w:val="001B3487"/>
    <w:rsid w:val="001B43C4"/>
    <w:rsid w:val="001B4681"/>
    <w:rsid w:val="001B47DD"/>
    <w:rsid w:val="001B49D0"/>
    <w:rsid w:val="001B4F52"/>
    <w:rsid w:val="001B4FD9"/>
    <w:rsid w:val="001B5141"/>
    <w:rsid w:val="001B529D"/>
    <w:rsid w:val="001B5559"/>
    <w:rsid w:val="001B58DA"/>
    <w:rsid w:val="001B5C85"/>
    <w:rsid w:val="001B5E2F"/>
    <w:rsid w:val="001B669F"/>
    <w:rsid w:val="001B6FCD"/>
    <w:rsid w:val="001B713B"/>
    <w:rsid w:val="001B73A0"/>
    <w:rsid w:val="001B777C"/>
    <w:rsid w:val="001C0FC7"/>
    <w:rsid w:val="001C152B"/>
    <w:rsid w:val="001C1640"/>
    <w:rsid w:val="001C171A"/>
    <w:rsid w:val="001C17F9"/>
    <w:rsid w:val="001C1C7D"/>
    <w:rsid w:val="001C1F14"/>
    <w:rsid w:val="001C2BE4"/>
    <w:rsid w:val="001C300C"/>
    <w:rsid w:val="001C3BB7"/>
    <w:rsid w:val="001C42F9"/>
    <w:rsid w:val="001C445C"/>
    <w:rsid w:val="001C4576"/>
    <w:rsid w:val="001C4E8F"/>
    <w:rsid w:val="001C5218"/>
    <w:rsid w:val="001C5255"/>
    <w:rsid w:val="001C55CB"/>
    <w:rsid w:val="001C5FC5"/>
    <w:rsid w:val="001C6121"/>
    <w:rsid w:val="001C6700"/>
    <w:rsid w:val="001C6CBD"/>
    <w:rsid w:val="001C720C"/>
    <w:rsid w:val="001C7FE5"/>
    <w:rsid w:val="001D0835"/>
    <w:rsid w:val="001D1A8E"/>
    <w:rsid w:val="001D2001"/>
    <w:rsid w:val="001D2BCC"/>
    <w:rsid w:val="001D2BF7"/>
    <w:rsid w:val="001D2EDD"/>
    <w:rsid w:val="001D3095"/>
    <w:rsid w:val="001D5400"/>
    <w:rsid w:val="001D5B23"/>
    <w:rsid w:val="001D7735"/>
    <w:rsid w:val="001E0037"/>
    <w:rsid w:val="001E02F2"/>
    <w:rsid w:val="001E1110"/>
    <w:rsid w:val="001E2316"/>
    <w:rsid w:val="001E3DC8"/>
    <w:rsid w:val="001E4032"/>
    <w:rsid w:val="001E4C08"/>
    <w:rsid w:val="001E4E8E"/>
    <w:rsid w:val="001E50E8"/>
    <w:rsid w:val="001E53DF"/>
    <w:rsid w:val="001E582C"/>
    <w:rsid w:val="001E58A2"/>
    <w:rsid w:val="001E5A20"/>
    <w:rsid w:val="001E5CC5"/>
    <w:rsid w:val="001E7924"/>
    <w:rsid w:val="001E79E6"/>
    <w:rsid w:val="001F044A"/>
    <w:rsid w:val="001F0764"/>
    <w:rsid w:val="001F1D0E"/>
    <w:rsid w:val="001F204F"/>
    <w:rsid w:val="001F2C06"/>
    <w:rsid w:val="001F2FDB"/>
    <w:rsid w:val="001F2FF8"/>
    <w:rsid w:val="001F34E0"/>
    <w:rsid w:val="001F372A"/>
    <w:rsid w:val="001F45D7"/>
    <w:rsid w:val="001F4903"/>
    <w:rsid w:val="001F4D21"/>
    <w:rsid w:val="001F51A4"/>
    <w:rsid w:val="001F6A29"/>
    <w:rsid w:val="001F74E3"/>
    <w:rsid w:val="001F77B4"/>
    <w:rsid w:val="001F7AFF"/>
    <w:rsid w:val="001F7D13"/>
    <w:rsid w:val="00200B90"/>
    <w:rsid w:val="002015CF"/>
    <w:rsid w:val="00201876"/>
    <w:rsid w:val="00201CFC"/>
    <w:rsid w:val="00201F28"/>
    <w:rsid w:val="00202763"/>
    <w:rsid w:val="00203B74"/>
    <w:rsid w:val="00203DCD"/>
    <w:rsid w:val="0020405E"/>
    <w:rsid w:val="002040C0"/>
    <w:rsid w:val="00204224"/>
    <w:rsid w:val="002044C8"/>
    <w:rsid w:val="002050F8"/>
    <w:rsid w:val="0020545C"/>
    <w:rsid w:val="00205A7F"/>
    <w:rsid w:val="00205CF2"/>
    <w:rsid w:val="00205DDF"/>
    <w:rsid w:val="0020610F"/>
    <w:rsid w:val="002061FF"/>
    <w:rsid w:val="0020635F"/>
    <w:rsid w:val="00207233"/>
    <w:rsid w:val="002073BD"/>
    <w:rsid w:val="00207770"/>
    <w:rsid w:val="00207982"/>
    <w:rsid w:val="00207CF0"/>
    <w:rsid w:val="00207D5D"/>
    <w:rsid w:val="002102C4"/>
    <w:rsid w:val="002105AC"/>
    <w:rsid w:val="002108B7"/>
    <w:rsid w:val="0021179B"/>
    <w:rsid w:val="00213816"/>
    <w:rsid w:val="00213945"/>
    <w:rsid w:val="0021450B"/>
    <w:rsid w:val="00214A20"/>
    <w:rsid w:val="002161C8"/>
    <w:rsid w:val="002164D2"/>
    <w:rsid w:val="00216F26"/>
    <w:rsid w:val="00217514"/>
    <w:rsid w:val="00217AA1"/>
    <w:rsid w:val="00220480"/>
    <w:rsid w:val="0022051A"/>
    <w:rsid w:val="002206C9"/>
    <w:rsid w:val="00220782"/>
    <w:rsid w:val="00221CE1"/>
    <w:rsid w:val="002222BB"/>
    <w:rsid w:val="00222597"/>
    <w:rsid w:val="0022285F"/>
    <w:rsid w:val="00222DCE"/>
    <w:rsid w:val="00223792"/>
    <w:rsid w:val="00223C3F"/>
    <w:rsid w:val="00224579"/>
    <w:rsid w:val="00225348"/>
    <w:rsid w:val="00225C5F"/>
    <w:rsid w:val="00226370"/>
    <w:rsid w:val="00226B78"/>
    <w:rsid w:val="002270BF"/>
    <w:rsid w:val="002271EC"/>
    <w:rsid w:val="00227856"/>
    <w:rsid w:val="00227BA2"/>
    <w:rsid w:val="00227DD2"/>
    <w:rsid w:val="0023000A"/>
    <w:rsid w:val="002307A3"/>
    <w:rsid w:val="00231100"/>
    <w:rsid w:val="0023130E"/>
    <w:rsid w:val="00231608"/>
    <w:rsid w:val="002321CC"/>
    <w:rsid w:val="00232DF9"/>
    <w:rsid w:val="00232E53"/>
    <w:rsid w:val="00233E73"/>
    <w:rsid w:val="002344F0"/>
    <w:rsid w:val="00234A0E"/>
    <w:rsid w:val="00234ED3"/>
    <w:rsid w:val="00234FAD"/>
    <w:rsid w:val="002353A4"/>
    <w:rsid w:val="0023542D"/>
    <w:rsid w:val="0023568F"/>
    <w:rsid w:val="00235B49"/>
    <w:rsid w:val="00236330"/>
    <w:rsid w:val="00236609"/>
    <w:rsid w:val="0024008C"/>
    <w:rsid w:val="0024013A"/>
    <w:rsid w:val="0024027B"/>
    <w:rsid w:val="002403BC"/>
    <w:rsid w:val="002405C9"/>
    <w:rsid w:val="0024126B"/>
    <w:rsid w:val="00242218"/>
    <w:rsid w:val="002422D2"/>
    <w:rsid w:val="00242664"/>
    <w:rsid w:val="00242B6E"/>
    <w:rsid w:val="002435B7"/>
    <w:rsid w:val="00243865"/>
    <w:rsid w:val="00244549"/>
    <w:rsid w:val="002446CE"/>
    <w:rsid w:val="002447B4"/>
    <w:rsid w:val="0024486E"/>
    <w:rsid w:val="00244947"/>
    <w:rsid w:val="0024530D"/>
    <w:rsid w:val="0024583D"/>
    <w:rsid w:val="00245A8E"/>
    <w:rsid w:val="00246BA8"/>
    <w:rsid w:val="0024728A"/>
    <w:rsid w:val="00247772"/>
    <w:rsid w:val="002512AB"/>
    <w:rsid w:val="002516DF"/>
    <w:rsid w:val="00251792"/>
    <w:rsid w:val="00252603"/>
    <w:rsid w:val="00252C8E"/>
    <w:rsid w:val="00252EEE"/>
    <w:rsid w:val="00252FA0"/>
    <w:rsid w:val="00253CB8"/>
    <w:rsid w:val="00253E5A"/>
    <w:rsid w:val="00254419"/>
    <w:rsid w:val="002545AF"/>
    <w:rsid w:val="00254C83"/>
    <w:rsid w:val="00254E60"/>
    <w:rsid w:val="00255B93"/>
    <w:rsid w:val="00256069"/>
    <w:rsid w:val="00256BEE"/>
    <w:rsid w:val="002571FC"/>
    <w:rsid w:val="00257730"/>
    <w:rsid w:val="00257B48"/>
    <w:rsid w:val="00257F9E"/>
    <w:rsid w:val="0026002B"/>
    <w:rsid w:val="002601E9"/>
    <w:rsid w:val="00260D43"/>
    <w:rsid w:val="002611C6"/>
    <w:rsid w:val="0026128C"/>
    <w:rsid w:val="00261438"/>
    <w:rsid w:val="002614A4"/>
    <w:rsid w:val="002620B0"/>
    <w:rsid w:val="0026299A"/>
    <w:rsid w:val="002639AD"/>
    <w:rsid w:val="00263B14"/>
    <w:rsid w:val="00263C2F"/>
    <w:rsid w:val="00263E36"/>
    <w:rsid w:val="00263FFF"/>
    <w:rsid w:val="002642FE"/>
    <w:rsid w:val="00265D44"/>
    <w:rsid w:val="00265E04"/>
    <w:rsid w:val="00265EAE"/>
    <w:rsid w:val="00266393"/>
    <w:rsid w:val="00266434"/>
    <w:rsid w:val="00266AD6"/>
    <w:rsid w:val="00266E19"/>
    <w:rsid w:val="002675FB"/>
    <w:rsid w:val="0027022D"/>
    <w:rsid w:val="00270AD6"/>
    <w:rsid w:val="00270BC0"/>
    <w:rsid w:val="00271D78"/>
    <w:rsid w:val="00271DD6"/>
    <w:rsid w:val="00272431"/>
    <w:rsid w:val="002729D5"/>
    <w:rsid w:val="00272ECB"/>
    <w:rsid w:val="00272F0D"/>
    <w:rsid w:val="0027337C"/>
    <w:rsid w:val="00273958"/>
    <w:rsid w:val="0027395C"/>
    <w:rsid w:val="002750DF"/>
    <w:rsid w:val="0027568C"/>
    <w:rsid w:val="00275B00"/>
    <w:rsid w:val="00275E73"/>
    <w:rsid w:val="00276040"/>
    <w:rsid w:val="00276CD8"/>
    <w:rsid w:val="00277151"/>
    <w:rsid w:val="00280037"/>
    <w:rsid w:val="0028046C"/>
    <w:rsid w:val="00280C1F"/>
    <w:rsid w:val="0028109D"/>
    <w:rsid w:val="002811D1"/>
    <w:rsid w:val="00281B42"/>
    <w:rsid w:val="00281E2A"/>
    <w:rsid w:val="0028268D"/>
    <w:rsid w:val="002827AE"/>
    <w:rsid w:val="002833C7"/>
    <w:rsid w:val="0028400C"/>
    <w:rsid w:val="002845F4"/>
    <w:rsid w:val="00284871"/>
    <w:rsid w:val="00285078"/>
    <w:rsid w:val="0028514D"/>
    <w:rsid w:val="002853C6"/>
    <w:rsid w:val="00286303"/>
    <w:rsid w:val="0028653C"/>
    <w:rsid w:val="0028659C"/>
    <w:rsid w:val="00287467"/>
    <w:rsid w:val="002878FF"/>
    <w:rsid w:val="00287F5B"/>
    <w:rsid w:val="0029005E"/>
    <w:rsid w:val="0029047B"/>
    <w:rsid w:val="00291737"/>
    <w:rsid w:val="002918D6"/>
    <w:rsid w:val="00291A1B"/>
    <w:rsid w:val="00291CD2"/>
    <w:rsid w:val="00291F49"/>
    <w:rsid w:val="0029230C"/>
    <w:rsid w:val="00293086"/>
    <w:rsid w:val="002941C6"/>
    <w:rsid w:val="002942EB"/>
    <w:rsid w:val="00294663"/>
    <w:rsid w:val="00294709"/>
    <w:rsid w:val="00294BAD"/>
    <w:rsid w:val="00294F21"/>
    <w:rsid w:val="00295737"/>
    <w:rsid w:val="00295A7F"/>
    <w:rsid w:val="00295E93"/>
    <w:rsid w:val="00296511"/>
    <w:rsid w:val="00296928"/>
    <w:rsid w:val="00296F0E"/>
    <w:rsid w:val="002976CB"/>
    <w:rsid w:val="0029797C"/>
    <w:rsid w:val="002A0442"/>
    <w:rsid w:val="002A069B"/>
    <w:rsid w:val="002A15F6"/>
    <w:rsid w:val="002A30D7"/>
    <w:rsid w:val="002A3443"/>
    <w:rsid w:val="002A357D"/>
    <w:rsid w:val="002A35C2"/>
    <w:rsid w:val="002A3ABC"/>
    <w:rsid w:val="002A3BEB"/>
    <w:rsid w:val="002A4319"/>
    <w:rsid w:val="002A4757"/>
    <w:rsid w:val="002A4F5D"/>
    <w:rsid w:val="002A5123"/>
    <w:rsid w:val="002A518E"/>
    <w:rsid w:val="002A52A3"/>
    <w:rsid w:val="002A5E4E"/>
    <w:rsid w:val="002A72FB"/>
    <w:rsid w:val="002A7662"/>
    <w:rsid w:val="002A7910"/>
    <w:rsid w:val="002A7B83"/>
    <w:rsid w:val="002B0E44"/>
    <w:rsid w:val="002B153C"/>
    <w:rsid w:val="002B33BD"/>
    <w:rsid w:val="002B34EB"/>
    <w:rsid w:val="002B3C15"/>
    <w:rsid w:val="002B3E86"/>
    <w:rsid w:val="002B41B3"/>
    <w:rsid w:val="002B42D3"/>
    <w:rsid w:val="002B47CB"/>
    <w:rsid w:val="002B48B1"/>
    <w:rsid w:val="002B56C7"/>
    <w:rsid w:val="002B5C8E"/>
    <w:rsid w:val="002B5EBC"/>
    <w:rsid w:val="002B6055"/>
    <w:rsid w:val="002B685B"/>
    <w:rsid w:val="002B6BF9"/>
    <w:rsid w:val="002B70D0"/>
    <w:rsid w:val="002B7C63"/>
    <w:rsid w:val="002B7E45"/>
    <w:rsid w:val="002C000B"/>
    <w:rsid w:val="002C03B1"/>
    <w:rsid w:val="002C048E"/>
    <w:rsid w:val="002C194F"/>
    <w:rsid w:val="002C19A3"/>
    <w:rsid w:val="002C1C2F"/>
    <w:rsid w:val="002C3205"/>
    <w:rsid w:val="002C3EB3"/>
    <w:rsid w:val="002C42E5"/>
    <w:rsid w:val="002C4D9F"/>
    <w:rsid w:val="002C541C"/>
    <w:rsid w:val="002C6AE7"/>
    <w:rsid w:val="002C6FFA"/>
    <w:rsid w:val="002C7AEF"/>
    <w:rsid w:val="002D017F"/>
    <w:rsid w:val="002D0610"/>
    <w:rsid w:val="002D0DB8"/>
    <w:rsid w:val="002D0FE8"/>
    <w:rsid w:val="002D11E5"/>
    <w:rsid w:val="002D127A"/>
    <w:rsid w:val="002D1A8A"/>
    <w:rsid w:val="002D1AC7"/>
    <w:rsid w:val="002D2980"/>
    <w:rsid w:val="002D2BB9"/>
    <w:rsid w:val="002D2BD9"/>
    <w:rsid w:val="002D42AB"/>
    <w:rsid w:val="002D42CC"/>
    <w:rsid w:val="002D43F8"/>
    <w:rsid w:val="002D4938"/>
    <w:rsid w:val="002D4C85"/>
    <w:rsid w:val="002D547B"/>
    <w:rsid w:val="002D5556"/>
    <w:rsid w:val="002D5739"/>
    <w:rsid w:val="002D58BF"/>
    <w:rsid w:val="002D5EC6"/>
    <w:rsid w:val="002D6101"/>
    <w:rsid w:val="002D6820"/>
    <w:rsid w:val="002D6A27"/>
    <w:rsid w:val="002D6ADE"/>
    <w:rsid w:val="002D7020"/>
    <w:rsid w:val="002D743D"/>
    <w:rsid w:val="002D7AA6"/>
    <w:rsid w:val="002D7B8B"/>
    <w:rsid w:val="002D7B95"/>
    <w:rsid w:val="002D7E50"/>
    <w:rsid w:val="002D7F75"/>
    <w:rsid w:val="002E0346"/>
    <w:rsid w:val="002E0764"/>
    <w:rsid w:val="002E0BCB"/>
    <w:rsid w:val="002E1173"/>
    <w:rsid w:val="002E2877"/>
    <w:rsid w:val="002E297B"/>
    <w:rsid w:val="002E2BA2"/>
    <w:rsid w:val="002E2D67"/>
    <w:rsid w:val="002E2E2F"/>
    <w:rsid w:val="002E2F2B"/>
    <w:rsid w:val="002E3140"/>
    <w:rsid w:val="002E33F5"/>
    <w:rsid w:val="002E37F2"/>
    <w:rsid w:val="002E3910"/>
    <w:rsid w:val="002E39CE"/>
    <w:rsid w:val="002E3DEC"/>
    <w:rsid w:val="002E41AD"/>
    <w:rsid w:val="002E430A"/>
    <w:rsid w:val="002E4C4B"/>
    <w:rsid w:val="002E4C9E"/>
    <w:rsid w:val="002E4FA9"/>
    <w:rsid w:val="002E544B"/>
    <w:rsid w:val="002E59AE"/>
    <w:rsid w:val="002E5A1A"/>
    <w:rsid w:val="002E5A5F"/>
    <w:rsid w:val="002E5BEA"/>
    <w:rsid w:val="002E5C83"/>
    <w:rsid w:val="002E6A4F"/>
    <w:rsid w:val="002E6C0E"/>
    <w:rsid w:val="002E6D18"/>
    <w:rsid w:val="002E7568"/>
    <w:rsid w:val="002E7825"/>
    <w:rsid w:val="002E7E4F"/>
    <w:rsid w:val="002F021B"/>
    <w:rsid w:val="002F06A2"/>
    <w:rsid w:val="002F0D74"/>
    <w:rsid w:val="002F0DE1"/>
    <w:rsid w:val="002F0E39"/>
    <w:rsid w:val="002F1831"/>
    <w:rsid w:val="002F1B86"/>
    <w:rsid w:val="002F1F9C"/>
    <w:rsid w:val="002F1FAD"/>
    <w:rsid w:val="002F2043"/>
    <w:rsid w:val="002F2458"/>
    <w:rsid w:val="002F2556"/>
    <w:rsid w:val="002F2902"/>
    <w:rsid w:val="002F2CFF"/>
    <w:rsid w:val="002F337E"/>
    <w:rsid w:val="002F339D"/>
    <w:rsid w:val="002F33C3"/>
    <w:rsid w:val="002F4678"/>
    <w:rsid w:val="002F47BD"/>
    <w:rsid w:val="002F59D2"/>
    <w:rsid w:val="002F62AD"/>
    <w:rsid w:val="002F6800"/>
    <w:rsid w:val="002F6D34"/>
    <w:rsid w:val="002F7500"/>
    <w:rsid w:val="003007DE"/>
    <w:rsid w:val="00300CED"/>
    <w:rsid w:val="00300EB7"/>
    <w:rsid w:val="003010B7"/>
    <w:rsid w:val="00301124"/>
    <w:rsid w:val="003014C2"/>
    <w:rsid w:val="00301A4C"/>
    <w:rsid w:val="00301AF3"/>
    <w:rsid w:val="00301B3E"/>
    <w:rsid w:val="0030245A"/>
    <w:rsid w:val="00303A44"/>
    <w:rsid w:val="00304222"/>
    <w:rsid w:val="0030465C"/>
    <w:rsid w:val="003046D0"/>
    <w:rsid w:val="00304870"/>
    <w:rsid w:val="00305231"/>
    <w:rsid w:val="003056B3"/>
    <w:rsid w:val="003074EC"/>
    <w:rsid w:val="0030765D"/>
    <w:rsid w:val="00307D3A"/>
    <w:rsid w:val="00307E7B"/>
    <w:rsid w:val="003101D9"/>
    <w:rsid w:val="00310314"/>
    <w:rsid w:val="00310631"/>
    <w:rsid w:val="00310C4C"/>
    <w:rsid w:val="00310D45"/>
    <w:rsid w:val="00311150"/>
    <w:rsid w:val="00312017"/>
    <w:rsid w:val="003129DD"/>
    <w:rsid w:val="00312A36"/>
    <w:rsid w:val="00312C1F"/>
    <w:rsid w:val="00313B32"/>
    <w:rsid w:val="00313F64"/>
    <w:rsid w:val="00315460"/>
    <w:rsid w:val="00315506"/>
    <w:rsid w:val="003159C1"/>
    <w:rsid w:val="0031667C"/>
    <w:rsid w:val="00316B11"/>
    <w:rsid w:val="00317049"/>
    <w:rsid w:val="00317176"/>
    <w:rsid w:val="003176A0"/>
    <w:rsid w:val="003209E7"/>
    <w:rsid w:val="003212D4"/>
    <w:rsid w:val="00321D2B"/>
    <w:rsid w:val="00321E61"/>
    <w:rsid w:val="00321F2F"/>
    <w:rsid w:val="00322079"/>
    <w:rsid w:val="003223E9"/>
    <w:rsid w:val="00322977"/>
    <w:rsid w:val="00322A52"/>
    <w:rsid w:val="00322EA5"/>
    <w:rsid w:val="00323025"/>
    <w:rsid w:val="0032317F"/>
    <w:rsid w:val="003233D0"/>
    <w:rsid w:val="0032341B"/>
    <w:rsid w:val="0032376D"/>
    <w:rsid w:val="0032411F"/>
    <w:rsid w:val="00324122"/>
    <w:rsid w:val="00324469"/>
    <w:rsid w:val="003259FC"/>
    <w:rsid w:val="00326759"/>
    <w:rsid w:val="003269EA"/>
    <w:rsid w:val="00326D2E"/>
    <w:rsid w:val="00327180"/>
    <w:rsid w:val="00327277"/>
    <w:rsid w:val="003272CB"/>
    <w:rsid w:val="00327682"/>
    <w:rsid w:val="00330067"/>
    <w:rsid w:val="00330637"/>
    <w:rsid w:val="00330D8B"/>
    <w:rsid w:val="00330E0C"/>
    <w:rsid w:val="003312AE"/>
    <w:rsid w:val="00331867"/>
    <w:rsid w:val="00331E7F"/>
    <w:rsid w:val="003324F9"/>
    <w:rsid w:val="00334D04"/>
    <w:rsid w:val="003363BA"/>
    <w:rsid w:val="00336672"/>
    <w:rsid w:val="00337CB2"/>
    <w:rsid w:val="00337E11"/>
    <w:rsid w:val="00337E1B"/>
    <w:rsid w:val="003404ED"/>
    <w:rsid w:val="00340637"/>
    <w:rsid w:val="003409DE"/>
    <w:rsid w:val="00340F6D"/>
    <w:rsid w:val="00341497"/>
    <w:rsid w:val="003420D6"/>
    <w:rsid w:val="0034231D"/>
    <w:rsid w:val="00342A52"/>
    <w:rsid w:val="00342C70"/>
    <w:rsid w:val="00342D7E"/>
    <w:rsid w:val="00343B88"/>
    <w:rsid w:val="0034429C"/>
    <w:rsid w:val="00345144"/>
    <w:rsid w:val="003452F6"/>
    <w:rsid w:val="003458E6"/>
    <w:rsid w:val="00345D30"/>
    <w:rsid w:val="00345FF4"/>
    <w:rsid w:val="00346520"/>
    <w:rsid w:val="00347083"/>
    <w:rsid w:val="003470D5"/>
    <w:rsid w:val="003471AF"/>
    <w:rsid w:val="00347421"/>
    <w:rsid w:val="0034783F"/>
    <w:rsid w:val="00347979"/>
    <w:rsid w:val="0034798D"/>
    <w:rsid w:val="00347B27"/>
    <w:rsid w:val="00347D58"/>
    <w:rsid w:val="0035025C"/>
    <w:rsid w:val="00350BBE"/>
    <w:rsid w:val="00350F98"/>
    <w:rsid w:val="00351632"/>
    <w:rsid w:val="0035166D"/>
    <w:rsid w:val="00351E54"/>
    <w:rsid w:val="00352F2F"/>
    <w:rsid w:val="00352F7F"/>
    <w:rsid w:val="003535BC"/>
    <w:rsid w:val="0035361A"/>
    <w:rsid w:val="00353719"/>
    <w:rsid w:val="00353C4D"/>
    <w:rsid w:val="00354600"/>
    <w:rsid w:val="0035495A"/>
    <w:rsid w:val="00354EE4"/>
    <w:rsid w:val="0035575F"/>
    <w:rsid w:val="0035583C"/>
    <w:rsid w:val="003563E5"/>
    <w:rsid w:val="00356610"/>
    <w:rsid w:val="00356C97"/>
    <w:rsid w:val="00356F5C"/>
    <w:rsid w:val="00356F99"/>
    <w:rsid w:val="00357505"/>
    <w:rsid w:val="00360591"/>
    <w:rsid w:val="003607E5"/>
    <w:rsid w:val="003610D4"/>
    <w:rsid w:val="0036153C"/>
    <w:rsid w:val="00362076"/>
    <w:rsid w:val="00362A84"/>
    <w:rsid w:val="00362AAE"/>
    <w:rsid w:val="00362C29"/>
    <w:rsid w:val="0036346F"/>
    <w:rsid w:val="00363538"/>
    <w:rsid w:val="00363560"/>
    <w:rsid w:val="0036491B"/>
    <w:rsid w:val="003649A1"/>
    <w:rsid w:val="003649C0"/>
    <w:rsid w:val="003649EC"/>
    <w:rsid w:val="00364E3B"/>
    <w:rsid w:val="0036532A"/>
    <w:rsid w:val="003658E3"/>
    <w:rsid w:val="00366217"/>
    <w:rsid w:val="0036651F"/>
    <w:rsid w:val="0036665F"/>
    <w:rsid w:val="003666AE"/>
    <w:rsid w:val="003671A0"/>
    <w:rsid w:val="0036744D"/>
    <w:rsid w:val="00367959"/>
    <w:rsid w:val="00370BDA"/>
    <w:rsid w:val="00370C7A"/>
    <w:rsid w:val="00370F10"/>
    <w:rsid w:val="0037156F"/>
    <w:rsid w:val="00371732"/>
    <w:rsid w:val="00371BAE"/>
    <w:rsid w:val="00372038"/>
    <w:rsid w:val="00372C3C"/>
    <w:rsid w:val="003735FD"/>
    <w:rsid w:val="00373629"/>
    <w:rsid w:val="003737A1"/>
    <w:rsid w:val="00373B25"/>
    <w:rsid w:val="00373F0A"/>
    <w:rsid w:val="003744E2"/>
    <w:rsid w:val="00374CB6"/>
    <w:rsid w:val="00374D87"/>
    <w:rsid w:val="003760F0"/>
    <w:rsid w:val="003767D5"/>
    <w:rsid w:val="003767E2"/>
    <w:rsid w:val="00376FA5"/>
    <w:rsid w:val="00377141"/>
    <w:rsid w:val="0037756E"/>
    <w:rsid w:val="0037763C"/>
    <w:rsid w:val="00380429"/>
    <w:rsid w:val="0038065A"/>
    <w:rsid w:val="00380792"/>
    <w:rsid w:val="003817B6"/>
    <w:rsid w:val="00381BC4"/>
    <w:rsid w:val="00381DF0"/>
    <w:rsid w:val="0038257B"/>
    <w:rsid w:val="0038305A"/>
    <w:rsid w:val="00383841"/>
    <w:rsid w:val="00383F1F"/>
    <w:rsid w:val="0038494A"/>
    <w:rsid w:val="00384DD9"/>
    <w:rsid w:val="00384FAA"/>
    <w:rsid w:val="00384FD6"/>
    <w:rsid w:val="0038522E"/>
    <w:rsid w:val="00385334"/>
    <w:rsid w:val="00386017"/>
    <w:rsid w:val="0038619A"/>
    <w:rsid w:val="00386259"/>
    <w:rsid w:val="003864E8"/>
    <w:rsid w:val="0038668C"/>
    <w:rsid w:val="003869FC"/>
    <w:rsid w:val="00386AF9"/>
    <w:rsid w:val="00386D2B"/>
    <w:rsid w:val="003872B5"/>
    <w:rsid w:val="00387C45"/>
    <w:rsid w:val="00387CF3"/>
    <w:rsid w:val="00387D57"/>
    <w:rsid w:val="00391C31"/>
    <w:rsid w:val="00391FA7"/>
    <w:rsid w:val="0039207E"/>
    <w:rsid w:val="003923D9"/>
    <w:rsid w:val="00392555"/>
    <w:rsid w:val="00392596"/>
    <w:rsid w:val="00393442"/>
    <w:rsid w:val="003934CD"/>
    <w:rsid w:val="00393C3E"/>
    <w:rsid w:val="00393DB2"/>
    <w:rsid w:val="00394319"/>
    <w:rsid w:val="00395369"/>
    <w:rsid w:val="0039626C"/>
    <w:rsid w:val="0039639A"/>
    <w:rsid w:val="00396A11"/>
    <w:rsid w:val="00397046"/>
    <w:rsid w:val="0039753A"/>
    <w:rsid w:val="003975FE"/>
    <w:rsid w:val="003A01A8"/>
    <w:rsid w:val="003A0CFF"/>
    <w:rsid w:val="003A24C1"/>
    <w:rsid w:val="003A32F7"/>
    <w:rsid w:val="003A34BB"/>
    <w:rsid w:val="003A377B"/>
    <w:rsid w:val="003A4BDF"/>
    <w:rsid w:val="003A52FE"/>
    <w:rsid w:val="003A5838"/>
    <w:rsid w:val="003A6366"/>
    <w:rsid w:val="003A69F6"/>
    <w:rsid w:val="003A6D5B"/>
    <w:rsid w:val="003A7493"/>
    <w:rsid w:val="003A76F5"/>
    <w:rsid w:val="003B0FD3"/>
    <w:rsid w:val="003B1099"/>
    <w:rsid w:val="003B16C0"/>
    <w:rsid w:val="003B2168"/>
    <w:rsid w:val="003B2327"/>
    <w:rsid w:val="003B2EDA"/>
    <w:rsid w:val="003B3084"/>
    <w:rsid w:val="003B38C3"/>
    <w:rsid w:val="003B44B0"/>
    <w:rsid w:val="003B4B4D"/>
    <w:rsid w:val="003B5085"/>
    <w:rsid w:val="003B5491"/>
    <w:rsid w:val="003B5A9B"/>
    <w:rsid w:val="003B711A"/>
    <w:rsid w:val="003C090B"/>
    <w:rsid w:val="003C0CA9"/>
    <w:rsid w:val="003C0D64"/>
    <w:rsid w:val="003C1888"/>
    <w:rsid w:val="003C2AB9"/>
    <w:rsid w:val="003C2B34"/>
    <w:rsid w:val="003C306A"/>
    <w:rsid w:val="003C30BA"/>
    <w:rsid w:val="003C310E"/>
    <w:rsid w:val="003C3160"/>
    <w:rsid w:val="003C343B"/>
    <w:rsid w:val="003C3791"/>
    <w:rsid w:val="003C397D"/>
    <w:rsid w:val="003C3ECE"/>
    <w:rsid w:val="003C3FB3"/>
    <w:rsid w:val="003C418B"/>
    <w:rsid w:val="003C58CD"/>
    <w:rsid w:val="003C6BB1"/>
    <w:rsid w:val="003C6C0A"/>
    <w:rsid w:val="003C7165"/>
    <w:rsid w:val="003D03BC"/>
    <w:rsid w:val="003D0AFB"/>
    <w:rsid w:val="003D14D4"/>
    <w:rsid w:val="003D1E73"/>
    <w:rsid w:val="003D2613"/>
    <w:rsid w:val="003D2BF1"/>
    <w:rsid w:val="003D2D97"/>
    <w:rsid w:val="003D30AE"/>
    <w:rsid w:val="003D49EE"/>
    <w:rsid w:val="003D4A6A"/>
    <w:rsid w:val="003D7C6C"/>
    <w:rsid w:val="003E00D2"/>
    <w:rsid w:val="003E0451"/>
    <w:rsid w:val="003E0B0C"/>
    <w:rsid w:val="003E0E0D"/>
    <w:rsid w:val="003E0F84"/>
    <w:rsid w:val="003E2184"/>
    <w:rsid w:val="003E23B2"/>
    <w:rsid w:val="003E23D1"/>
    <w:rsid w:val="003E2604"/>
    <w:rsid w:val="003E2FAA"/>
    <w:rsid w:val="003E3475"/>
    <w:rsid w:val="003E3A8A"/>
    <w:rsid w:val="003E3C35"/>
    <w:rsid w:val="003E4068"/>
    <w:rsid w:val="003E45A5"/>
    <w:rsid w:val="003E48FF"/>
    <w:rsid w:val="003E575C"/>
    <w:rsid w:val="003E6335"/>
    <w:rsid w:val="003E7BB6"/>
    <w:rsid w:val="003F045D"/>
    <w:rsid w:val="003F06AA"/>
    <w:rsid w:val="003F1806"/>
    <w:rsid w:val="003F1C43"/>
    <w:rsid w:val="003F299E"/>
    <w:rsid w:val="003F2F19"/>
    <w:rsid w:val="003F3BC4"/>
    <w:rsid w:val="003F3E2D"/>
    <w:rsid w:val="003F3F6E"/>
    <w:rsid w:val="003F4490"/>
    <w:rsid w:val="003F47BB"/>
    <w:rsid w:val="003F47F2"/>
    <w:rsid w:val="003F4975"/>
    <w:rsid w:val="003F49B6"/>
    <w:rsid w:val="003F4E42"/>
    <w:rsid w:val="003F5673"/>
    <w:rsid w:val="003F5D8A"/>
    <w:rsid w:val="003F6397"/>
    <w:rsid w:val="003F79FE"/>
    <w:rsid w:val="003F7BEF"/>
    <w:rsid w:val="00400007"/>
    <w:rsid w:val="00400434"/>
    <w:rsid w:val="0040069C"/>
    <w:rsid w:val="00400A88"/>
    <w:rsid w:val="00400D17"/>
    <w:rsid w:val="00400D33"/>
    <w:rsid w:val="00401059"/>
    <w:rsid w:val="00401539"/>
    <w:rsid w:val="00401AD4"/>
    <w:rsid w:val="00401DEF"/>
    <w:rsid w:val="00401F52"/>
    <w:rsid w:val="00402459"/>
    <w:rsid w:val="00402911"/>
    <w:rsid w:val="00403DBE"/>
    <w:rsid w:val="00405301"/>
    <w:rsid w:val="004053FE"/>
    <w:rsid w:val="00405D7A"/>
    <w:rsid w:val="00410690"/>
    <w:rsid w:val="00411406"/>
    <w:rsid w:val="0041221E"/>
    <w:rsid w:val="00412342"/>
    <w:rsid w:val="00413ACC"/>
    <w:rsid w:val="00413F2F"/>
    <w:rsid w:val="0041430A"/>
    <w:rsid w:val="00414638"/>
    <w:rsid w:val="00414A7F"/>
    <w:rsid w:val="00414AA1"/>
    <w:rsid w:val="00414CE8"/>
    <w:rsid w:val="00415B78"/>
    <w:rsid w:val="00417167"/>
    <w:rsid w:val="00417604"/>
    <w:rsid w:val="00417D2E"/>
    <w:rsid w:val="004200B6"/>
    <w:rsid w:val="0042034C"/>
    <w:rsid w:val="00420BFB"/>
    <w:rsid w:val="00421988"/>
    <w:rsid w:val="00421C6E"/>
    <w:rsid w:val="00421ED5"/>
    <w:rsid w:val="004222BF"/>
    <w:rsid w:val="00422E23"/>
    <w:rsid w:val="004236E5"/>
    <w:rsid w:val="00423B35"/>
    <w:rsid w:val="0042403E"/>
    <w:rsid w:val="00424969"/>
    <w:rsid w:val="00424FF6"/>
    <w:rsid w:val="004255F3"/>
    <w:rsid w:val="00425FB5"/>
    <w:rsid w:val="00426012"/>
    <w:rsid w:val="00426212"/>
    <w:rsid w:val="00426FC7"/>
    <w:rsid w:val="00427648"/>
    <w:rsid w:val="00430048"/>
    <w:rsid w:val="004304AB"/>
    <w:rsid w:val="00430C3F"/>
    <w:rsid w:val="0043187B"/>
    <w:rsid w:val="004324EE"/>
    <w:rsid w:val="004327ED"/>
    <w:rsid w:val="00433707"/>
    <w:rsid w:val="00433A6B"/>
    <w:rsid w:val="00434266"/>
    <w:rsid w:val="004355B1"/>
    <w:rsid w:val="00435992"/>
    <w:rsid w:val="00435E44"/>
    <w:rsid w:val="004360F3"/>
    <w:rsid w:val="004366CD"/>
    <w:rsid w:val="00436BF4"/>
    <w:rsid w:val="00437E0A"/>
    <w:rsid w:val="00437E50"/>
    <w:rsid w:val="00437FA2"/>
    <w:rsid w:val="0044009A"/>
    <w:rsid w:val="004400D0"/>
    <w:rsid w:val="00440173"/>
    <w:rsid w:val="0044048F"/>
    <w:rsid w:val="00440519"/>
    <w:rsid w:val="004405D8"/>
    <w:rsid w:val="00440C73"/>
    <w:rsid w:val="004425ED"/>
    <w:rsid w:val="0044291A"/>
    <w:rsid w:val="00443033"/>
    <w:rsid w:val="004434FD"/>
    <w:rsid w:val="00443B55"/>
    <w:rsid w:val="00443DE7"/>
    <w:rsid w:val="00443EAC"/>
    <w:rsid w:val="00444BEC"/>
    <w:rsid w:val="00444DA4"/>
    <w:rsid w:val="00445479"/>
    <w:rsid w:val="00445525"/>
    <w:rsid w:val="00445621"/>
    <w:rsid w:val="00446A70"/>
    <w:rsid w:val="00446D18"/>
    <w:rsid w:val="004471E9"/>
    <w:rsid w:val="0044773E"/>
    <w:rsid w:val="00447B74"/>
    <w:rsid w:val="00447E86"/>
    <w:rsid w:val="00450015"/>
    <w:rsid w:val="00450DBB"/>
    <w:rsid w:val="00450F75"/>
    <w:rsid w:val="004512A6"/>
    <w:rsid w:val="004512E6"/>
    <w:rsid w:val="00451799"/>
    <w:rsid w:val="0045381C"/>
    <w:rsid w:val="00453914"/>
    <w:rsid w:val="00453D10"/>
    <w:rsid w:val="004540E3"/>
    <w:rsid w:val="004542CD"/>
    <w:rsid w:val="0045430E"/>
    <w:rsid w:val="0045444F"/>
    <w:rsid w:val="00454673"/>
    <w:rsid w:val="004547A4"/>
    <w:rsid w:val="0045493C"/>
    <w:rsid w:val="00455265"/>
    <w:rsid w:val="004552F9"/>
    <w:rsid w:val="004554E5"/>
    <w:rsid w:val="0045586F"/>
    <w:rsid w:val="0045635A"/>
    <w:rsid w:val="004569D1"/>
    <w:rsid w:val="004575F1"/>
    <w:rsid w:val="00457640"/>
    <w:rsid w:val="00460DAB"/>
    <w:rsid w:val="00461B95"/>
    <w:rsid w:val="00461EBC"/>
    <w:rsid w:val="00462671"/>
    <w:rsid w:val="00463265"/>
    <w:rsid w:val="00463A04"/>
    <w:rsid w:val="00463DDB"/>
    <w:rsid w:val="00463F75"/>
    <w:rsid w:val="00464327"/>
    <w:rsid w:val="0046466E"/>
    <w:rsid w:val="004646EE"/>
    <w:rsid w:val="0046470F"/>
    <w:rsid w:val="00464A94"/>
    <w:rsid w:val="00465460"/>
    <w:rsid w:val="0046570F"/>
    <w:rsid w:val="004657E4"/>
    <w:rsid w:val="00465A31"/>
    <w:rsid w:val="00465C10"/>
    <w:rsid w:val="00465E7C"/>
    <w:rsid w:val="004668B2"/>
    <w:rsid w:val="004669FD"/>
    <w:rsid w:val="00466B89"/>
    <w:rsid w:val="00466D04"/>
    <w:rsid w:val="004670AA"/>
    <w:rsid w:val="00467EA7"/>
    <w:rsid w:val="0047025B"/>
    <w:rsid w:val="004703B8"/>
    <w:rsid w:val="00470879"/>
    <w:rsid w:val="00470B48"/>
    <w:rsid w:val="00471430"/>
    <w:rsid w:val="004722D2"/>
    <w:rsid w:val="00472627"/>
    <w:rsid w:val="00472A3A"/>
    <w:rsid w:val="00472B55"/>
    <w:rsid w:val="00472D0A"/>
    <w:rsid w:val="004731DB"/>
    <w:rsid w:val="0047322E"/>
    <w:rsid w:val="0047368B"/>
    <w:rsid w:val="0047457D"/>
    <w:rsid w:val="00474C11"/>
    <w:rsid w:val="00474C34"/>
    <w:rsid w:val="00474E0B"/>
    <w:rsid w:val="004755C0"/>
    <w:rsid w:val="00475CFE"/>
    <w:rsid w:val="004760FD"/>
    <w:rsid w:val="0047630F"/>
    <w:rsid w:val="00476480"/>
    <w:rsid w:val="00476F32"/>
    <w:rsid w:val="004770FC"/>
    <w:rsid w:val="0047721B"/>
    <w:rsid w:val="0047768A"/>
    <w:rsid w:val="00477CC2"/>
    <w:rsid w:val="004801B4"/>
    <w:rsid w:val="004803C4"/>
    <w:rsid w:val="00481320"/>
    <w:rsid w:val="004819C9"/>
    <w:rsid w:val="0048260E"/>
    <w:rsid w:val="00482D8D"/>
    <w:rsid w:val="00483003"/>
    <w:rsid w:val="004835C7"/>
    <w:rsid w:val="00483E31"/>
    <w:rsid w:val="004843FB"/>
    <w:rsid w:val="0048441D"/>
    <w:rsid w:val="00484700"/>
    <w:rsid w:val="00484EF4"/>
    <w:rsid w:val="00485776"/>
    <w:rsid w:val="00485837"/>
    <w:rsid w:val="0048585C"/>
    <w:rsid w:val="004859FA"/>
    <w:rsid w:val="004869D7"/>
    <w:rsid w:val="00486AFD"/>
    <w:rsid w:val="00487028"/>
    <w:rsid w:val="004878CF"/>
    <w:rsid w:val="0049052F"/>
    <w:rsid w:val="004909A6"/>
    <w:rsid w:val="00492688"/>
    <w:rsid w:val="00492743"/>
    <w:rsid w:val="00492E5B"/>
    <w:rsid w:val="004932B7"/>
    <w:rsid w:val="00493625"/>
    <w:rsid w:val="00493C13"/>
    <w:rsid w:val="00493F78"/>
    <w:rsid w:val="00493FDA"/>
    <w:rsid w:val="004946BD"/>
    <w:rsid w:val="00494EF4"/>
    <w:rsid w:val="00495627"/>
    <w:rsid w:val="004956B7"/>
    <w:rsid w:val="00495AB9"/>
    <w:rsid w:val="00495BFC"/>
    <w:rsid w:val="0049672E"/>
    <w:rsid w:val="00496B60"/>
    <w:rsid w:val="00496E7C"/>
    <w:rsid w:val="00497420"/>
    <w:rsid w:val="00497672"/>
    <w:rsid w:val="00497876"/>
    <w:rsid w:val="00497990"/>
    <w:rsid w:val="00497BA5"/>
    <w:rsid w:val="004A012B"/>
    <w:rsid w:val="004A02E8"/>
    <w:rsid w:val="004A08AC"/>
    <w:rsid w:val="004A0953"/>
    <w:rsid w:val="004A0BC4"/>
    <w:rsid w:val="004A0E81"/>
    <w:rsid w:val="004A107B"/>
    <w:rsid w:val="004A1F49"/>
    <w:rsid w:val="004A1F6B"/>
    <w:rsid w:val="004A1F94"/>
    <w:rsid w:val="004A28AD"/>
    <w:rsid w:val="004A28B5"/>
    <w:rsid w:val="004A3467"/>
    <w:rsid w:val="004A35B7"/>
    <w:rsid w:val="004A3662"/>
    <w:rsid w:val="004A4B3D"/>
    <w:rsid w:val="004A4BC6"/>
    <w:rsid w:val="004A6D32"/>
    <w:rsid w:val="004A6E93"/>
    <w:rsid w:val="004A7138"/>
    <w:rsid w:val="004A732C"/>
    <w:rsid w:val="004A77DA"/>
    <w:rsid w:val="004A7CDF"/>
    <w:rsid w:val="004B1363"/>
    <w:rsid w:val="004B1C5A"/>
    <w:rsid w:val="004B2F28"/>
    <w:rsid w:val="004B2FD8"/>
    <w:rsid w:val="004B3189"/>
    <w:rsid w:val="004B3644"/>
    <w:rsid w:val="004B3F02"/>
    <w:rsid w:val="004B4157"/>
    <w:rsid w:val="004B44BC"/>
    <w:rsid w:val="004B47D1"/>
    <w:rsid w:val="004B4FE9"/>
    <w:rsid w:val="004B564E"/>
    <w:rsid w:val="004B5A1B"/>
    <w:rsid w:val="004B5B64"/>
    <w:rsid w:val="004B730F"/>
    <w:rsid w:val="004B7C30"/>
    <w:rsid w:val="004B7DAA"/>
    <w:rsid w:val="004C09E9"/>
    <w:rsid w:val="004C0B94"/>
    <w:rsid w:val="004C0FF1"/>
    <w:rsid w:val="004C25F2"/>
    <w:rsid w:val="004C2849"/>
    <w:rsid w:val="004C33E5"/>
    <w:rsid w:val="004C3F29"/>
    <w:rsid w:val="004C49AD"/>
    <w:rsid w:val="004C5706"/>
    <w:rsid w:val="004C5CF1"/>
    <w:rsid w:val="004C5F09"/>
    <w:rsid w:val="004C69A5"/>
    <w:rsid w:val="004C739E"/>
    <w:rsid w:val="004C7527"/>
    <w:rsid w:val="004C791B"/>
    <w:rsid w:val="004D0146"/>
    <w:rsid w:val="004D07E5"/>
    <w:rsid w:val="004D0CA2"/>
    <w:rsid w:val="004D1605"/>
    <w:rsid w:val="004D22D6"/>
    <w:rsid w:val="004D2B97"/>
    <w:rsid w:val="004D3575"/>
    <w:rsid w:val="004D3BB9"/>
    <w:rsid w:val="004D4274"/>
    <w:rsid w:val="004D439E"/>
    <w:rsid w:val="004D4B54"/>
    <w:rsid w:val="004D4D9E"/>
    <w:rsid w:val="004D4FF4"/>
    <w:rsid w:val="004D503A"/>
    <w:rsid w:val="004D5BDD"/>
    <w:rsid w:val="004D60BB"/>
    <w:rsid w:val="004D6B8B"/>
    <w:rsid w:val="004D6CE3"/>
    <w:rsid w:val="004D77EE"/>
    <w:rsid w:val="004D78D3"/>
    <w:rsid w:val="004D7AF8"/>
    <w:rsid w:val="004E073D"/>
    <w:rsid w:val="004E11E4"/>
    <w:rsid w:val="004E18D5"/>
    <w:rsid w:val="004E1E86"/>
    <w:rsid w:val="004E1FCF"/>
    <w:rsid w:val="004E3935"/>
    <w:rsid w:val="004E416D"/>
    <w:rsid w:val="004E4452"/>
    <w:rsid w:val="004E49F1"/>
    <w:rsid w:val="004E6466"/>
    <w:rsid w:val="004E67AC"/>
    <w:rsid w:val="004E69CB"/>
    <w:rsid w:val="004E7499"/>
    <w:rsid w:val="004E781A"/>
    <w:rsid w:val="004E7F1E"/>
    <w:rsid w:val="004F004F"/>
    <w:rsid w:val="004F0106"/>
    <w:rsid w:val="004F058F"/>
    <w:rsid w:val="004F0791"/>
    <w:rsid w:val="004F0FE5"/>
    <w:rsid w:val="004F1542"/>
    <w:rsid w:val="004F17FE"/>
    <w:rsid w:val="004F217E"/>
    <w:rsid w:val="004F283C"/>
    <w:rsid w:val="004F2DA9"/>
    <w:rsid w:val="004F3894"/>
    <w:rsid w:val="004F3A16"/>
    <w:rsid w:val="004F3B0B"/>
    <w:rsid w:val="004F49F5"/>
    <w:rsid w:val="004F4CBC"/>
    <w:rsid w:val="004F5033"/>
    <w:rsid w:val="004F5DDC"/>
    <w:rsid w:val="004F65CA"/>
    <w:rsid w:val="004F68DC"/>
    <w:rsid w:val="004F75AB"/>
    <w:rsid w:val="004F7B31"/>
    <w:rsid w:val="004F7C3B"/>
    <w:rsid w:val="0050061A"/>
    <w:rsid w:val="00500DFF"/>
    <w:rsid w:val="00501089"/>
    <w:rsid w:val="0050140E"/>
    <w:rsid w:val="00501C6F"/>
    <w:rsid w:val="00501D6C"/>
    <w:rsid w:val="00502193"/>
    <w:rsid w:val="005025C9"/>
    <w:rsid w:val="00502DD8"/>
    <w:rsid w:val="0050396B"/>
    <w:rsid w:val="00503AD4"/>
    <w:rsid w:val="00503FB9"/>
    <w:rsid w:val="005044CE"/>
    <w:rsid w:val="00505213"/>
    <w:rsid w:val="0050589B"/>
    <w:rsid w:val="00505AC0"/>
    <w:rsid w:val="00505D24"/>
    <w:rsid w:val="00505D3A"/>
    <w:rsid w:val="00505DFB"/>
    <w:rsid w:val="00505FEB"/>
    <w:rsid w:val="0050715C"/>
    <w:rsid w:val="0050734F"/>
    <w:rsid w:val="005103F2"/>
    <w:rsid w:val="005109CB"/>
    <w:rsid w:val="00510BB6"/>
    <w:rsid w:val="00511AFC"/>
    <w:rsid w:val="00511C50"/>
    <w:rsid w:val="00511DFF"/>
    <w:rsid w:val="00512EED"/>
    <w:rsid w:val="00513032"/>
    <w:rsid w:val="00514D0B"/>
    <w:rsid w:val="0051545E"/>
    <w:rsid w:val="00515AA1"/>
    <w:rsid w:val="00516F45"/>
    <w:rsid w:val="005173DD"/>
    <w:rsid w:val="005175EF"/>
    <w:rsid w:val="00517ABB"/>
    <w:rsid w:val="00517C94"/>
    <w:rsid w:val="00520095"/>
    <w:rsid w:val="0052031F"/>
    <w:rsid w:val="00520DCC"/>
    <w:rsid w:val="0052103D"/>
    <w:rsid w:val="0052143E"/>
    <w:rsid w:val="00521690"/>
    <w:rsid w:val="00521EE1"/>
    <w:rsid w:val="005224B4"/>
    <w:rsid w:val="005227A3"/>
    <w:rsid w:val="00522855"/>
    <w:rsid w:val="005229A5"/>
    <w:rsid w:val="00522FBF"/>
    <w:rsid w:val="005233EB"/>
    <w:rsid w:val="0052351E"/>
    <w:rsid w:val="00523D86"/>
    <w:rsid w:val="00523FCF"/>
    <w:rsid w:val="005247D5"/>
    <w:rsid w:val="0052522B"/>
    <w:rsid w:val="005255EB"/>
    <w:rsid w:val="0052625B"/>
    <w:rsid w:val="00526839"/>
    <w:rsid w:val="00526E73"/>
    <w:rsid w:val="00527745"/>
    <w:rsid w:val="005277B4"/>
    <w:rsid w:val="00527BB4"/>
    <w:rsid w:val="00527E64"/>
    <w:rsid w:val="005306F6"/>
    <w:rsid w:val="00530891"/>
    <w:rsid w:val="00531370"/>
    <w:rsid w:val="005315C8"/>
    <w:rsid w:val="0053188A"/>
    <w:rsid w:val="005318ED"/>
    <w:rsid w:val="00531BBE"/>
    <w:rsid w:val="00532476"/>
    <w:rsid w:val="00532E1A"/>
    <w:rsid w:val="00533548"/>
    <w:rsid w:val="00533CE4"/>
    <w:rsid w:val="00534115"/>
    <w:rsid w:val="00535688"/>
    <w:rsid w:val="0053592B"/>
    <w:rsid w:val="0053764B"/>
    <w:rsid w:val="00540C8E"/>
    <w:rsid w:val="0054106E"/>
    <w:rsid w:val="005410C6"/>
    <w:rsid w:val="00541133"/>
    <w:rsid w:val="00541184"/>
    <w:rsid w:val="00541401"/>
    <w:rsid w:val="00541765"/>
    <w:rsid w:val="00541FE4"/>
    <w:rsid w:val="0054217F"/>
    <w:rsid w:val="005426BC"/>
    <w:rsid w:val="00542B0B"/>
    <w:rsid w:val="0054301E"/>
    <w:rsid w:val="005430ED"/>
    <w:rsid w:val="00543216"/>
    <w:rsid w:val="005437C8"/>
    <w:rsid w:val="00543C80"/>
    <w:rsid w:val="00544132"/>
    <w:rsid w:val="00544529"/>
    <w:rsid w:val="00544E83"/>
    <w:rsid w:val="00545023"/>
    <w:rsid w:val="005461AE"/>
    <w:rsid w:val="00546BF7"/>
    <w:rsid w:val="00547123"/>
    <w:rsid w:val="00547474"/>
    <w:rsid w:val="00547E40"/>
    <w:rsid w:val="005502FB"/>
    <w:rsid w:val="005507B6"/>
    <w:rsid w:val="00550AC3"/>
    <w:rsid w:val="00550B59"/>
    <w:rsid w:val="00550E47"/>
    <w:rsid w:val="00552450"/>
    <w:rsid w:val="00552553"/>
    <w:rsid w:val="00553D33"/>
    <w:rsid w:val="00553D67"/>
    <w:rsid w:val="00553E15"/>
    <w:rsid w:val="0055444B"/>
    <w:rsid w:val="00554BE1"/>
    <w:rsid w:val="00555107"/>
    <w:rsid w:val="0055566A"/>
    <w:rsid w:val="00555A30"/>
    <w:rsid w:val="0055655F"/>
    <w:rsid w:val="00557120"/>
    <w:rsid w:val="00557174"/>
    <w:rsid w:val="00557972"/>
    <w:rsid w:val="00557DE4"/>
    <w:rsid w:val="00557F30"/>
    <w:rsid w:val="005604C1"/>
    <w:rsid w:val="00560D84"/>
    <w:rsid w:val="00560ED6"/>
    <w:rsid w:val="00561438"/>
    <w:rsid w:val="00562122"/>
    <w:rsid w:val="0056220F"/>
    <w:rsid w:val="005629FB"/>
    <w:rsid w:val="00562A74"/>
    <w:rsid w:val="005630E1"/>
    <w:rsid w:val="00563BDD"/>
    <w:rsid w:val="005641C2"/>
    <w:rsid w:val="00564526"/>
    <w:rsid w:val="005649AF"/>
    <w:rsid w:val="00564D06"/>
    <w:rsid w:val="00565BA7"/>
    <w:rsid w:val="00565EA5"/>
    <w:rsid w:val="00565F69"/>
    <w:rsid w:val="00566031"/>
    <w:rsid w:val="00566154"/>
    <w:rsid w:val="00566603"/>
    <w:rsid w:val="00566C61"/>
    <w:rsid w:val="00567600"/>
    <w:rsid w:val="005706E0"/>
    <w:rsid w:val="00570EEC"/>
    <w:rsid w:val="005712C9"/>
    <w:rsid w:val="00571D11"/>
    <w:rsid w:val="00571FB4"/>
    <w:rsid w:val="00572422"/>
    <w:rsid w:val="00572AC3"/>
    <w:rsid w:val="005734AE"/>
    <w:rsid w:val="005735DA"/>
    <w:rsid w:val="005737CA"/>
    <w:rsid w:val="00573E15"/>
    <w:rsid w:val="0057459A"/>
    <w:rsid w:val="005748D8"/>
    <w:rsid w:val="005757AE"/>
    <w:rsid w:val="00575B34"/>
    <w:rsid w:val="00575EB3"/>
    <w:rsid w:val="00576980"/>
    <w:rsid w:val="00576BF3"/>
    <w:rsid w:val="005771D0"/>
    <w:rsid w:val="0057786B"/>
    <w:rsid w:val="00577DD7"/>
    <w:rsid w:val="00580485"/>
    <w:rsid w:val="005808AA"/>
    <w:rsid w:val="00581279"/>
    <w:rsid w:val="005814FD"/>
    <w:rsid w:val="00581996"/>
    <w:rsid w:val="005824FA"/>
    <w:rsid w:val="005830EB"/>
    <w:rsid w:val="00583500"/>
    <w:rsid w:val="0058465D"/>
    <w:rsid w:val="00584E4A"/>
    <w:rsid w:val="00584E96"/>
    <w:rsid w:val="005856DD"/>
    <w:rsid w:val="00586DE4"/>
    <w:rsid w:val="00587B9F"/>
    <w:rsid w:val="0059022A"/>
    <w:rsid w:val="005904A5"/>
    <w:rsid w:val="00591536"/>
    <w:rsid w:val="00591E69"/>
    <w:rsid w:val="005924FF"/>
    <w:rsid w:val="0059268B"/>
    <w:rsid w:val="00592EF7"/>
    <w:rsid w:val="00593631"/>
    <w:rsid w:val="00593643"/>
    <w:rsid w:val="00593FB1"/>
    <w:rsid w:val="0059593B"/>
    <w:rsid w:val="00596FD4"/>
    <w:rsid w:val="00597637"/>
    <w:rsid w:val="0059787C"/>
    <w:rsid w:val="00597B3F"/>
    <w:rsid w:val="005A0D42"/>
    <w:rsid w:val="005A0FDA"/>
    <w:rsid w:val="005A1554"/>
    <w:rsid w:val="005A1591"/>
    <w:rsid w:val="005A1C37"/>
    <w:rsid w:val="005A269E"/>
    <w:rsid w:val="005A279E"/>
    <w:rsid w:val="005A326A"/>
    <w:rsid w:val="005A3647"/>
    <w:rsid w:val="005A3C07"/>
    <w:rsid w:val="005A3EA1"/>
    <w:rsid w:val="005A53D3"/>
    <w:rsid w:val="005A584B"/>
    <w:rsid w:val="005A5A71"/>
    <w:rsid w:val="005A648F"/>
    <w:rsid w:val="005A68B7"/>
    <w:rsid w:val="005A698B"/>
    <w:rsid w:val="005A733B"/>
    <w:rsid w:val="005A7548"/>
    <w:rsid w:val="005A794E"/>
    <w:rsid w:val="005A7C9A"/>
    <w:rsid w:val="005A7DE8"/>
    <w:rsid w:val="005B04A0"/>
    <w:rsid w:val="005B04CD"/>
    <w:rsid w:val="005B0A91"/>
    <w:rsid w:val="005B0B13"/>
    <w:rsid w:val="005B0B73"/>
    <w:rsid w:val="005B1338"/>
    <w:rsid w:val="005B17A3"/>
    <w:rsid w:val="005B1F90"/>
    <w:rsid w:val="005B2142"/>
    <w:rsid w:val="005B261C"/>
    <w:rsid w:val="005B268F"/>
    <w:rsid w:val="005B26D2"/>
    <w:rsid w:val="005B2F44"/>
    <w:rsid w:val="005B3C77"/>
    <w:rsid w:val="005B3DCA"/>
    <w:rsid w:val="005B3EFA"/>
    <w:rsid w:val="005B45BF"/>
    <w:rsid w:val="005B512B"/>
    <w:rsid w:val="005B61A8"/>
    <w:rsid w:val="005B62A3"/>
    <w:rsid w:val="005B6F21"/>
    <w:rsid w:val="005B7187"/>
    <w:rsid w:val="005B76C3"/>
    <w:rsid w:val="005B7C1B"/>
    <w:rsid w:val="005C025D"/>
    <w:rsid w:val="005C0ACA"/>
    <w:rsid w:val="005C0CDD"/>
    <w:rsid w:val="005C2017"/>
    <w:rsid w:val="005C2218"/>
    <w:rsid w:val="005C2D6E"/>
    <w:rsid w:val="005C2DA1"/>
    <w:rsid w:val="005C2E94"/>
    <w:rsid w:val="005C2F52"/>
    <w:rsid w:val="005C35C8"/>
    <w:rsid w:val="005C3C69"/>
    <w:rsid w:val="005C3D74"/>
    <w:rsid w:val="005C3F56"/>
    <w:rsid w:val="005C4439"/>
    <w:rsid w:val="005C46BB"/>
    <w:rsid w:val="005C470A"/>
    <w:rsid w:val="005C5066"/>
    <w:rsid w:val="005C56A1"/>
    <w:rsid w:val="005C5EB4"/>
    <w:rsid w:val="005C67F3"/>
    <w:rsid w:val="005C6F50"/>
    <w:rsid w:val="005C72F0"/>
    <w:rsid w:val="005C7AF6"/>
    <w:rsid w:val="005C7BB9"/>
    <w:rsid w:val="005D0A74"/>
    <w:rsid w:val="005D0B3B"/>
    <w:rsid w:val="005D0EAF"/>
    <w:rsid w:val="005D20B2"/>
    <w:rsid w:val="005D25DF"/>
    <w:rsid w:val="005D2846"/>
    <w:rsid w:val="005D29F7"/>
    <w:rsid w:val="005D2F25"/>
    <w:rsid w:val="005D3D9A"/>
    <w:rsid w:val="005D462B"/>
    <w:rsid w:val="005D4A64"/>
    <w:rsid w:val="005D4E6A"/>
    <w:rsid w:val="005D5037"/>
    <w:rsid w:val="005D59D6"/>
    <w:rsid w:val="005D5B82"/>
    <w:rsid w:val="005D6514"/>
    <w:rsid w:val="005D65C0"/>
    <w:rsid w:val="005D65D0"/>
    <w:rsid w:val="005D6624"/>
    <w:rsid w:val="005D6649"/>
    <w:rsid w:val="005D6CFD"/>
    <w:rsid w:val="005D757B"/>
    <w:rsid w:val="005D7972"/>
    <w:rsid w:val="005D7DD5"/>
    <w:rsid w:val="005E0630"/>
    <w:rsid w:val="005E0A50"/>
    <w:rsid w:val="005E1619"/>
    <w:rsid w:val="005E193C"/>
    <w:rsid w:val="005E1B07"/>
    <w:rsid w:val="005E2603"/>
    <w:rsid w:val="005E2B2D"/>
    <w:rsid w:val="005E30D0"/>
    <w:rsid w:val="005E30EC"/>
    <w:rsid w:val="005E3D01"/>
    <w:rsid w:val="005E48EF"/>
    <w:rsid w:val="005E4D64"/>
    <w:rsid w:val="005E4F1D"/>
    <w:rsid w:val="005E52EE"/>
    <w:rsid w:val="005E55D3"/>
    <w:rsid w:val="005E617E"/>
    <w:rsid w:val="005E65F1"/>
    <w:rsid w:val="005E6648"/>
    <w:rsid w:val="005E67ED"/>
    <w:rsid w:val="005E7498"/>
    <w:rsid w:val="005E7A83"/>
    <w:rsid w:val="005E7B10"/>
    <w:rsid w:val="005E7F6D"/>
    <w:rsid w:val="005F033A"/>
    <w:rsid w:val="005F03B8"/>
    <w:rsid w:val="005F07BD"/>
    <w:rsid w:val="005F0D89"/>
    <w:rsid w:val="005F0DCB"/>
    <w:rsid w:val="005F14DF"/>
    <w:rsid w:val="005F1705"/>
    <w:rsid w:val="005F1AE4"/>
    <w:rsid w:val="005F1D96"/>
    <w:rsid w:val="005F2252"/>
    <w:rsid w:val="005F2E23"/>
    <w:rsid w:val="005F3988"/>
    <w:rsid w:val="005F47ED"/>
    <w:rsid w:val="005F5419"/>
    <w:rsid w:val="005F5677"/>
    <w:rsid w:val="005F5AFD"/>
    <w:rsid w:val="005F5B5C"/>
    <w:rsid w:val="005F5E15"/>
    <w:rsid w:val="005F5FF9"/>
    <w:rsid w:val="005F6113"/>
    <w:rsid w:val="005F626C"/>
    <w:rsid w:val="005F6F3F"/>
    <w:rsid w:val="005F7354"/>
    <w:rsid w:val="005F78D7"/>
    <w:rsid w:val="00600058"/>
    <w:rsid w:val="00600596"/>
    <w:rsid w:val="00600AC8"/>
    <w:rsid w:val="00601048"/>
    <w:rsid w:val="006018A1"/>
    <w:rsid w:val="00601AF9"/>
    <w:rsid w:val="00602063"/>
    <w:rsid w:val="00602509"/>
    <w:rsid w:val="0060258E"/>
    <w:rsid w:val="00603517"/>
    <w:rsid w:val="006036F2"/>
    <w:rsid w:val="006048E5"/>
    <w:rsid w:val="00604F34"/>
    <w:rsid w:val="00604FD6"/>
    <w:rsid w:val="006056B3"/>
    <w:rsid w:val="00605830"/>
    <w:rsid w:val="0060625D"/>
    <w:rsid w:val="00606355"/>
    <w:rsid w:val="00606F1D"/>
    <w:rsid w:val="00607EDD"/>
    <w:rsid w:val="00610DB8"/>
    <w:rsid w:val="0061126E"/>
    <w:rsid w:val="006112BD"/>
    <w:rsid w:val="00611857"/>
    <w:rsid w:val="00611AAA"/>
    <w:rsid w:val="00611EC3"/>
    <w:rsid w:val="00612361"/>
    <w:rsid w:val="00612444"/>
    <w:rsid w:val="006126D5"/>
    <w:rsid w:val="00612B5F"/>
    <w:rsid w:val="00612BF0"/>
    <w:rsid w:val="00612C19"/>
    <w:rsid w:val="00612D6D"/>
    <w:rsid w:val="00612F1B"/>
    <w:rsid w:val="0061421B"/>
    <w:rsid w:val="00614761"/>
    <w:rsid w:val="00615CAB"/>
    <w:rsid w:val="00616ECA"/>
    <w:rsid w:val="00617669"/>
    <w:rsid w:val="00617D99"/>
    <w:rsid w:val="00620375"/>
    <w:rsid w:val="00620A04"/>
    <w:rsid w:val="00620AF7"/>
    <w:rsid w:val="00620C52"/>
    <w:rsid w:val="00621155"/>
    <w:rsid w:val="006211C4"/>
    <w:rsid w:val="006213FE"/>
    <w:rsid w:val="006215A7"/>
    <w:rsid w:val="006215AA"/>
    <w:rsid w:val="00621D71"/>
    <w:rsid w:val="00622629"/>
    <w:rsid w:val="00622D21"/>
    <w:rsid w:val="006232F6"/>
    <w:rsid w:val="00623C03"/>
    <w:rsid w:val="00624D0A"/>
    <w:rsid w:val="00625151"/>
    <w:rsid w:val="00625366"/>
    <w:rsid w:val="00625B86"/>
    <w:rsid w:val="00625DC0"/>
    <w:rsid w:val="00625E38"/>
    <w:rsid w:val="00625F89"/>
    <w:rsid w:val="0062603A"/>
    <w:rsid w:val="00626848"/>
    <w:rsid w:val="00626C0C"/>
    <w:rsid w:val="00626C18"/>
    <w:rsid w:val="00626E5F"/>
    <w:rsid w:val="0062725E"/>
    <w:rsid w:val="00627A51"/>
    <w:rsid w:val="00627F72"/>
    <w:rsid w:val="0063002A"/>
    <w:rsid w:val="00630229"/>
    <w:rsid w:val="006303B6"/>
    <w:rsid w:val="00630415"/>
    <w:rsid w:val="006308AA"/>
    <w:rsid w:val="00630FBE"/>
    <w:rsid w:val="006313CD"/>
    <w:rsid w:val="00631745"/>
    <w:rsid w:val="0063194C"/>
    <w:rsid w:val="0063198D"/>
    <w:rsid w:val="00631E96"/>
    <w:rsid w:val="0063208C"/>
    <w:rsid w:val="006327F4"/>
    <w:rsid w:val="00632811"/>
    <w:rsid w:val="00632CC2"/>
    <w:rsid w:val="00632D7F"/>
    <w:rsid w:val="00633E9D"/>
    <w:rsid w:val="00634E8C"/>
    <w:rsid w:val="006353CF"/>
    <w:rsid w:val="0063569E"/>
    <w:rsid w:val="00635BA3"/>
    <w:rsid w:val="0063667C"/>
    <w:rsid w:val="00636B1D"/>
    <w:rsid w:val="00636D26"/>
    <w:rsid w:val="006372C4"/>
    <w:rsid w:val="00637B08"/>
    <w:rsid w:val="00637DBB"/>
    <w:rsid w:val="006400C4"/>
    <w:rsid w:val="00640370"/>
    <w:rsid w:val="00640A17"/>
    <w:rsid w:val="00640AC6"/>
    <w:rsid w:val="00641830"/>
    <w:rsid w:val="0064276B"/>
    <w:rsid w:val="006427C2"/>
    <w:rsid w:val="00643120"/>
    <w:rsid w:val="006431FD"/>
    <w:rsid w:val="006439F5"/>
    <w:rsid w:val="006441A9"/>
    <w:rsid w:val="00644C30"/>
    <w:rsid w:val="00644DF3"/>
    <w:rsid w:val="00645027"/>
    <w:rsid w:val="00645918"/>
    <w:rsid w:val="00645B55"/>
    <w:rsid w:val="00645C85"/>
    <w:rsid w:val="0064647A"/>
    <w:rsid w:val="00647437"/>
    <w:rsid w:val="006477D1"/>
    <w:rsid w:val="00647808"/>
    <w:rsid w:val="00647D52"/>
    <w:rsid w:val="00647F8D"/>
    <w:rsid w:val="00650115"/>
    <w:rsid w:val="006504D8"/>
    <w:rsid w:val="006507E4"/>
    <w:rsid w:val="00650EA0"/>
    <w:rsid w:val="006512A5"/>
    <w:rsid w:val="0065134B"/>
    <w:rsid w:val="00651C04"/>
    <w:rsid w:val="0065221D"/>
    <w:rsid w:val="00652F79"/>
    <w:rsid w:val="006532C1"/>
    <w:rsid w:val="00653B8E"/>
    <w:rsid w:val="00654B64"/>
    <w:rsid w:val="0065539E"/>
    <w:rsid w:val="00655814"/>
    <w:rsid w:val="006559F6"/>
    <w:rsid w:val="00655ABD"/>
    <w:rsid w:val="0065696F"/>
    <w:rsid w:val="00657C3E"/>
    <w:rsid w:val="00657C8C"/>
    <w:rsid w:val="00657FA2"/>
    <w:rsid w:val="006602B1"/>
    <w:rsid w:val="00660385"/>
    <w:rsid w:val="00660739"/>
    <w:rsid w:val="00660A67"/>
    <w:rsid w:val="00660B11"/>
    <w:rsid w:val="00660CA8"/>
    <w:rsid w:val="00660FB6"/>
    <w:rsid w:val="00661153"/>
    <w:rsid w:val="00661508"/>
    <w:rsid w:val="00661530"/>
    <w:rsid w:val="006615E2"/>
    <w:rsid w:val="0066206C"/>
    <w:rsid w:val="0066261C"/>
    <w:rsid w:val="0066293F"/>
    <w:rsid w:val="00662D10"/>
    <w:rsid w:val="00662DEF"/>
    <w:rsid w:val="0066302A"/>
    <w:rsid w:val="006633FE"/>
    <w:rsid w:val="00664139"/>
    <w:rsid w:val="00664EC2"/>
    <w:rsid w:val="00665995"/>
    <w:rsid w:val="006660F2"/>
    <w:rsid w:val="006665D7"/>
    <w:rsid w:val="00666A24"/>
    <w:rsid w:val="006670D2"/>
    <w:rsid w:val="006702BD"/>
    <w:rsid w:val="0067054C"/>
    <w:rsid w:val="00670841"/>
    <w:rsid w:val="0067096C"/>
    <w:rsid w:val="00670C4F"/>
    <w:rsid w:val="006711FE"/>
    <w:rsid w:val="006717FA"/>
    <w:rsid w:val="00671958"/>
    <w:rsid w:val="00671A1C"/>
    <w:rsid w:val="0067232B"/>
    <w:rsid w:val="0067268A"/>
    <w:rsid w:val="00672A2A"/>
    <w:rsid w:val="00672F92"/>
    <w:rsid w:val="00673625"/>
    <w:rsid w:val="006756E7"/>
    <w:rsid w:val="00675F05"/>
    <w:rsid w:val="00676711"/>
    <w:rsid w:val="00676BBD"/>
    <w:rsid w:val="00676C77"/>
    <w:rsid w:val="006770BB"/>
    <w:rsid w:val="006772B3"/>
    <w:rsid w:val="00677364"/>
    <w:rsid w:val="006800EF"/>
    <w:rsid w:val="0068030E"/>
    <w:rsid w:val="00680B2A"/>
    <w:rsid w:val="00680B54"/>
    <w:rsid w:val="00680F5E"/>
    <w:rsid w:val="00681339"/>
    <w:rsid w:val="00681F5D"/>
    <w:rsid w:val="006827CA"/>
    <w:rsid w:val="00682E4C"/>
    <w:rsid w:val="00682F41"/>
    <w:rsid w:val="006830E9"/>
    <w:rsid w:val="0068362A"/>
    <w:rsid w:val="0068459D"/>
    <w:rsid w:val="0068480D"/>
    <w:rsid w:val="00684892"/>
    <w:rsid w:val="00684AF3"/>
    <w:rsid w:val="00685003"/>
    <w:rsid w:val="00685374"/>
    <w:rsid w:val="006853F5"/>
    <w:rsid w:val="00685D81"/>
    <w:rsid w:val="006861E1"/>
    <w:rsid w:val="00686C1E"/>
    <w:rsid w:val="00687A59"/>
    <w:rsid w:val="006909C6"/>
    <w:rsid w:val="00690B62"/>
    <w:rsid w:val="006911A0"/>
    <w:rsid w:val="00691320"/>
    <w:rsid w:val="0069258F"/>
    <w:rsid w:val="00692E53"/>
    <w:rsid w:val="00693413"/>
    <w:rsid w:val="006958B9"/>
    <w:rsid w:val="0069596A"/>
    <w:rsid w:val="00695BCB"/>
    <w:rsid w:val="00696947"/>
    <w:rsid w:val="00696D61"/>
    <w:rsid w:val="00697C43"/>
    <w:rsid w:val="00697D6D"/>
    <w:rsid w:val="00697F00"/>
    <w:rsid w:val="006A0784"/>
    <w:rsid w:val="006A0BEF"/>
    <w:rsid w:val="006A1340"/>
    <w:rsid w:val="006A16BD"/>
    <w:rsid w:val="006A17A5"/>
    <w:rsid w:val="006A1AEE"/>
    <w:rsid w:val="006A1AEF"/>
    <w:rsid w:val="006A24E5"/>
    <w:rsid w:val="006A292C"/>
    <w:rsid w:val="006A2CF5"/>
    <w:rsid w:val="006A2FE5"/>
    <w:rsid w:val="006A3461"/>
    <w:rsid w:val="006A351D"/>
    <w:rsid w:val="006A4AF8"/>
    <w:rsid w:val="006A5AB1"/>
    <w:rsid w:val="006A60B5"/>
    <w:rsid w:val="006A6F13"/>
    <w:rsid w:val="006A7094"/>
    <w:rsid w:val="006B008E"/>
    <w:rsid w:val="006B06AD"/>
    <w:rsid w:val="006B0AC1"/>
    <w:rsid w:val="006B0B07"/>
    <w:rsid w:val="006B1BE5"/>
    <w:rsid w:val="006B321F"/>
    <w:rsid w:val="006B3AF3"/>
    <w:rsid w:val="006B3BDA"/>
    <w:rsid w:val="006B4D4A"/>
    <w:rsid w:val="006B5AC1"/>
    <w:rsid w:val="006B68B7"/>
    <w:rsid w:val="006B70C5"/>
    <w:rsid w:val="006B734B"/>
    <w:rsid w:val="006B7D76"/>
    <w:rsid w:val="006C020A"/>
    <w:rsid w:val="006C0DB5"/>
    <w:rsid w:val="006C1139"/>
    <w:rsid w:val="006C29C4"/>
    <w:rsid w:val="006C3B43"/>
    <w:rsid w:val="006C3E7A"/>
    <w:rsid w:val="006C665C"/>
    <w:rsid w:val="006C7121"/>
    <w:rsid w:val="006C781E"/>
    <w:rsid w:val="006C7F90"/>
    <w:rsid w:val="006D0688"/>
    <w:rsid w:val="006D0731"/>
    <w:rsid w:val="006D0A6B"/>
    <w:rsid w:val="006D0C4C"/>
    <w:rsid w:val="006D0DE8"/>
    <w:rsid w:val="006D0E35"/>
    <w:rsid w:val="006D1AAB"/>
    <w:rsid w:val="006D1C33"/>
    <w:rsid w:val="006D21DF"/>
    <w:rsid w:val="006D2320"/>
    <w:rsid w:val="006D3066"/>
    <w:rsid w:val="006D4080"/>
    <w:rsid w:val="006D422A"/>
    <w:rsid w:val="006D434D"/>
    <w:rsid w:val="006D45BA"/>
    <w:rsid w:val="006D4640"/>
    <w:rsid w:val="006D4B90"/>
    <w:rsid w:val="006D4E67"/>
    <w:rsid w:val="006D57BA"/>
    <w:rsid w:val="006D5C27"/>
    <w:rsid w:val="006D6399"/>
    <w:rsid w:val="006D6433"/>
    <w:rsid w:val="006D689B"/>
    <w:rsid w:val="006D6E1A"/>
    <w:rsid w:val="006D78D8"/>
    <w:rsid w:val="006D7FD8"/>
    <w:rsid w:val="006E0174"/>
    <w:rsid w:val="006E024E"/>
    <w:rsid w:val="006E0E8C"/>
    <w:rsid w:val="006E0F0E"/>
    <w:rsid w:val="006E1497"/>
    <w:rsid w:val="006E19B4"/>
    <w:rsid w:val="006E1EDD"/>
    <w:rsid w:val="006E289B"/>
    <w:rsid w:val="006E2CB4"/>
    <w:rsid w:val="006E2FFB"/>
    <w:rsid w:val="006E3D46"/>
    <w:rsid w:val="006E5548"/>
    <w:rsid w:val="006E5DE7"/>
    <w:rsid w:val="006E61E5"/>
    <w:rsid w:val="006E69F8"/>
    <w:rsid w:val="006E6B70"/>
    <w:rsid w:val="006E6F06"/>
    <w:rsid w:val="006E7146"/>
    <w:rsid w:val="006E7257"/>
    <w:rsid w:val="006F031D"/>
    <w:rsid w:val="006F12DA"/>
    <w:rsid w:val="006F1B42"/>
    <w:rsid w:val="006F2848"/>
    <w:rsid w:val="006F2C45"/>
    <w:rsid w:val="006F2C5C"/>
    <w:rsid w:val="006F2F62"/>
    <w:rsid w:val="006F3256"/>
    <w:rsid w:val="006F3347"/>
    <w:rsid w:val="006F3E70"/>
    <w:rsid w:val="006F3F80"/>
    <w:rsid w:val="006F484F"/>
    <w:rsid w:val="006F4C00"/>
    <w:rsid w:val="006F5724"/>
    <w:rsid w:val="006F57C6"/>
    <w:rsid w:val="006F5A18"/>
    <w:rsid w:val="006F5AA4"/>
    <w:rsid w:val="006F5CF7"/>
    <w:rsid w:val="006F60C5"/>
    <w:rsid w:val="006F65DA"/>
    <w:rsid w:val="006F706F"/>
    <w:rsid w:val="006F7167"/>
    <w:rsid w:val="006F716F"/>
    <w:rsid w:val="006F7791"/>
    <w:rsid w:val="00700867"/>
    <w:rsid w:val="00700945"/>
    <w:rsid w:val="0070105D"/>
    <w:rsid w:val="007011F7"/>
    <w:rsid w:val="00701E13"/>
    <w:rsid w:val="0070235B"/>
    <w:rsid w:val="00702611"/>
    <w:rsid w:val="00702648"/>
    <w:rsid w:val="00702999"/>
    <w:rsid w:val="00702F0B"/>
    <w:rsid w:val="0070347F"/>
    <w:rsid w:val="0070398A"/>
    <w:rsid w:val="00705240"/>
    <w:rsid w:val="007054A7"/>
    <w:rsid w:val="00705B2A"/>
    <w:rsid w:val="00705D65"/>
    <w:rsid w:val="00706078"/>
    <w:rsid w:val="00706939"/>
    <w:rsid w:val="00707188"/>
    <w:rsid w:val="00707A2B"/>
    <w:rsid w:val="00707BAF"/>
    <w:rsid w:val="00710415"/>
    <w:rsid w:val="00710D41"/>
    <w:rsid w:val="00710F09"/>
    <w:rsid w:val="007113FC"/>
    <w:rsid w:val="0071382A"/>
    <w:rsid w:val="00713EEE"/>
    <w:rsid w:val="007144F6"/>
    <w:rsid w:val="00714764"/>
    <w:rsid w:val="007152FF"/>
    <w:rsid w:val="0071550C"/>
    <w:rsid w:val="00715532"/>
    <w:rsid w:val="00715B44"/>
    <w:rsid w:val="00716351"/>
    <w:rsid w:val="00716A49"/>
    <w:rsid w:val="00716C6C"/>
    <w:rsid w:val="00717D17"/>
    <w:rsid w:val="00717F3E"/>
    <w:rsid w:val="00720540"/>
    <w:rsid w:val="0072091F"/>
    <w:rsid w:val="0072145D"/>
    <w:rsid w:val="0072251E"/>
    <w:rsid w:val="00722E79"/>
    <w:rsid w:val="007236C0"/>
    <w:rsid w:val="0072438F"/>
    <w:rsid w:val="00725185"/>
    <w:rsid w:val="00725240"/>
    <w:rsid w:val="007259C6"/>
    <w:rsid w:val="00725D99"/>
    <w:rsid w:val="007272CE"/>
    <w:rsid w:val="007301D9"/>
    <w:rsid w:val="0073113A"/>
    <w:rsid w:val="007339B8"/>
    <w:rsid w:val="00733A5A"/>
    <w:rsid w:val="00733AFB"/>
    <w:rsid w:val="00734EF0"/>
    <w:rsid w:val="0073504E"/>
    <w:rsid w:val="00735093"/>
    <w:rsid w:val="00735AE7"/>
    <w:rsid w:val="007360EE"/>
    <w:rsid w:val="007365CA"/>
    <w:rsid w:val="007367BA"/>
    <w:rsid w:val="00737290"/>
    <w:rsid w:val="007376D8"/>
    <w:rsid w:val="00737943"/>
    <w:rsid w:val="007407E6"/>
    <w:rsid w:val="007409AD"/>
    <w:rsid w:val="00741224"/>
    <w:rsid w:val="00741CDC"/>
    <w:rsid w:val="00741F07"/>
    <w:rsid w:val="0074227E"/>
    <w:rsid w:val="00742301"/>
    <w:rsid w:val="007428B2"/>
    <w:rsid w:val="00742A3D"/>
    <w:rsid w:val="00742C27"/>
    <w:rsid w:val="00742D7F"/>
    <w:rsid w:val="00742E72"/>
    <w:rsid w:val="00743020"/>
    <w:rsid w:val="007436E7"/>
    <w:rsid w:val="00743834"/>
    <w:rsid w:val="00743B6B"/>
    <w:rsid w:val="00744138"/>
    <w:rsid w:val="00744476"/>
    <w:rsid w:val="007445B4"/>
    <w:rsid w:val="007446B8"/>
    <w:rsid w:val="00745419"/>
    <w:rsid w:val="007457FB"/>
    <w:rsid w:val="007459BD"/>
    <w:rsid w:val="007459EB"/>
    <w:rsid w:val="00745E7B"/>
    <w:rsid w:val="00745F74"/>
    <w:rsid w:val="007460A6"/>
    <w:rsid w:val="007460F1"/>
    <w:rsid w:val="007461ED"/>
    <w:rsid w:val="007463B5"/>
    <w:rsid w:val="00746E5F"/>
    <w:rsid w:val="00747348"/>
    <w:rsid w:val="00747818"/>
    <w:rsid w:val="00747900"/>
    <w:rsid w:val="00747B0B"/>
    <w:rsid w:val="00747B86"/>
    <w:rsid w:val="0075046D"/>
    <w:rsid w:val="00750A6C"/>
    <w:rsid w:val="00751153"/>
    <w:rsid w:val="0075197B"/>
    <w:rsid w:val="007519E8"/>
    <w:rsid w:val="00751FBE"/>
    <w:rsid w:val="007526CE"/>
    <w:rsid w:val="00752D75"/>
    <w:rsid w:val="007535ED"/>
    <w:rsid w:val="00753B5B"/>
    <w:rsid w:val="00753E84"/>
    <w:rsid w:val="007540A8"/>
    <w:rsid w:val="007542BA"/>
    <w:rsid w:val="007544B9"/>
    <w:rsid w:val="007544C8"/>
    <w:rsid w:val="00754D23"/>
    <w:rsid w:val="00754E7A"/>
    <w:rsid w:val="00754FF0"/>
    <w:rsid w:val="00755238"/>
    <w:rsid w:val="007555D0"/>
    <w:rsid w:val="00755B3A"/>
    <w:rsid w:val="00756172"/>
    <w:rsid w:val="00756E61"/>
    <w:rsid w:val="007570A1"/>
    <w:rsid w:val="007577DB"/>
    <w:rsid w:val="0076095D"/>
    <w:rsid w:val="00760D5F"/>
    <w:rsid w:val="00761089"/>
    <w:rsid w:val="00761599"/>
    <w:rsid w:val="007616B2"/>
    <w:rsid w:val="00761872"/>
    <w:rsid w:val="00761A5A"/>
    <w:rsid w:val="00761B59"/>
    <w:rsid w:val="0076270D"/>
    <w:rsid w:val="00762D99"/>
    <w:rsid w:val="00762FB4"/>
    <w:rsid w:val="007631BC"/>
    <w:rsid w:val="00763A8A"/>
    <w:rsid w:val="0076494C"/>
    <w:rsid w:val="0076498C"/>
    <w:rsid w:val="00764991"/>
    <w:rsid w:val="00764A98"/>
    <w:rsid w:val="00764B2B"/>
    <w:rsid w:val="00764BD4"/>
    <w:rsid w:val="007659B8"/>
    <w:rsid w:val="00765B86"/>
    <w:rsid w:val="007660FC"/>
    <w:rsid w:val="00766644"/>
    <w:rsid w:val="00766B5E"/>
    <w:rsid w:val="00766C65"/>
    <w:rsid w:val="007677CB"/>
    <w:rsid w:val="00770D28"/>
    <w:rsid w:val="00771EE7"/>
    <w:rsid w:val="0077238C"/>
    <w:rsid w:val="00772BF0"/>
    <w:rsid w:val="007735CF"/>
    <w:rsid w:val="007744C6"/>
    <w:rsid w:val="0077489A"/>
    <w:rsid w:val="00774B45"/>
    <w:rsid w:val="00774BBF"/>
    <w:rsid w:val="00775370"/>
    <w:rsid w:val="007756CD"/>
    <w:rsid w:val="00775C56"/>
    <w:rsid w:val="00775F99"/>
    <w:rsid w:val="00776DDD"/>
    <w:rsid w:val="00777029"/>
    <w:rsid w:val="00777300"/>
    <w:rsid w:val="00777BD1"/>
    <w:rsid w:val="00777E8B"/>
    <w:rsid w:val="00780FBB"/>
    <w:rsid w:val="007811BA"/>
    <w:rsid w:val="00781963"/>
    <w:rsid w:val="00781A33"/>
    <w:rsid w:val="0078254F"/>
    <w:rsid w:val="00782BB1"/>
    <w:rsid w:val="0078313B"/>
    <w:rsid w:val="00783246"/>
    <w:rsid w:val="00783304"/>
    <w:rsid w:val="0078366E"/>
    <w:rsid w:val="00783671"/>
    <w:rsid w:val="00783A2C"/>
    <w:rsid w:val="00784119"/>
    <w:rsid w:val="007845C9"/>
    <w:rsid w:val="007845D3"/>
    <w:rsid w:val="00784EC2"/>
    <w:rsid w:val="0078548B"/>
    <w:rsid w:val="007858F3"/>
    <w:rsid w:val="00785C39"/>
    <w:rsid w:val="00785F57"/>
    <w:rsid w:val="007864D9"/>
    <w:rsid w:val="00786996"/>
    <w:rsid w:val="00786EE8"/>
    <w:rsid w:val="0078718A"/>
    <w:rsid w:val="007874DE"/>
    <w:rsid w:val="00787717"/>
    <w:rsid w:val="00787BF4"/>
    <w:rsid w:val="00787E1B"/>
    <w:rsid w:val="00787F5D"/>
    <w:rsid w:val="0079074D"/>
    <w:rsid w:val="00790966"/>
    <w:rsid w:val="00790F30"/>
    <w:rsid w:val="00791267"/>
    <w:rsid w:val="00792549"/>
    <w:rsid w:val="007927B4"/>
    <w:rsid w:val="00792888"/>
    <w:rsid w:val="00792F5D"/>
    <w:rsid w:val="00793500"/>
    <w:rsid w:val="007939F7"/>
    <w:rsid w:val="00793A88"/>
    <w:rsid w:val="00793C34"/>
    <w:rsid w:val="00793E76"/>
    <w:rsid w:val="00793E9C"/>
    <w:rsid w:val="0079417F"/>
    <w:rsid w:val="00794358"/>
    <w:rsid w:val="0079438E"/>
    <w:rsid w:val="007946F6"/>
    <w:rsid w:val="007949E2"/>
    <w:rsid w:val="00794B3E"/>
    <w:rsid w:val="007955B4"/>
    <w:rsid w:val="007956CD"/>
    <w:rsid w:val="0079605C"/>
    <w:rsid w:val="00796BCA"/>
    <w:rsid w:val="00797DA2"/>
    <w:rsid w:val="00797DB0"/>
    <w:rsid w:val="007A0743"/>
    <w:rsid w:val="007A0B97"/>
    <w:rsid w:val="007A0D71"/>
    <w:rsid w:val="007A16FF"/>
    <w:rsid w:val="007A1911"/>
    <w:rsid w:val="007A1938"/>
    <w:rsid w:val="007A1D2B"/>
    <w:rsid w:val="007A3720"/>
    <w:rsid w:val="007A3ED8"/>
    <w:rsid w:val="007A460A"/>
    <w:rsid w:val="007A4712"/>
    <w:rsid w:val="007A47B4"/>
    <w:rsid w:val="007A4EC1"/>
    <w:rsid w:val="007A5C5F"/>
    <w:rsid w:val="007A5CA3"/>
    <w:rsid w:val="007A5F29"/>
    <w:rsid w:val="007A60D9"/>
    <w:rsid w:val="007A617E"/>
    <w:rsid w:val="007A663D"/>
    <w:rsid w:val="007A6933"/>
    <w:rsid w:val="007A6ABF"/>
    <w:rsid w:val="007A730E"/>
    <w:rsid w:val="007B0201"/>
    <w:rsid w:val="007B057D"/>
    <w:rsid w:val="007B05FA"/>
    <w:rsid w:val="007B0DB3"/>
    <w:rsid w:val="007B0F9C"/>
    <w:rsid w:val="007B10AD"/>
    <w:rsid w:val="007B1433"/>
    <w:rsid w:val="007B19FD"/>
    <w:rsid w:val="007B1C5B"/>
    <w:rsid w:val="007B2840"/>
    <w:rsid w:val="007B2A9E"/>
    <w:rsid w:val="007B2AD9"/>
    <w:rsid w:val="007B2D47"/>
    <w:rsid w:val="007B2F7F"/>
    <w:rsid w:val="007B3168"/>
    <w:rsid w:val="007B3282"/>
    <w:rsid w:val="007B3440"/>
    <w:rsid w:val="007B37B5"/>
    <w:rsid w:val="007B402B"/>
    <w:rsid w:val="007B46AE"/>
    <w:rsid w:val="007B5FB0"/>
    <w:rsid w:val="007B60F7"/>
    <w:rsid w:val="007B62F6"/>
    <w:rsid w:val="007B64A2"/>
    <w:rsid w:val="007B64D4"/>
    <w:rsid w:val="007B66C8"/>
    <w:rsid w:val="007B6ADE"/>
    <w:rsid w:val="007B6D20"/>
    <w:rsid w:val="007B6FDE"/>
    <w:rsid w:val="007B767A"/>
    <w:rsid w:val="007B7EA6"/>
    <w:rsid w:val="007C097C"/>
    <w:rsid w:val="007C09F8"/>
    <w:rsid w:val="007C0A24"/>
    <w:rsid w:val="007C12D0"/>
    <w:rsid w:val="007C1B2F"/>
    <w:rsid w:val="007C1E09"/>
    <w:rsid w:val="007C2DEC"/>
    <w:rsid w:val="007C2FBF"/>
    <w:rsid w:val="007C31B7"/>
    <w:rsid w:val="007C61CD"/>
    <w:rsid w:val="007C68BB"/>
    <w:rsid w:val="007C6E8D"/>
    <w:rsid w:val="007C74CE"/>
    <w:rsid w:val="007C768C"/>
    <w:rsid w:val="007C76A9"/>
    <w:rsid w:val="007C79DD"/>
    <w:rsid w:val="007C7BDD"/>
    <w:rsid w:val="007D0ED7"/>
    <w:rsid w:val="007D16D7"/>
    <w:rsid w:val="007D28D2"/>
    <w:rsid w:val="007D2A75"/>
    <w:rsid w:val="007D2A82"/>
    <w:rsid w:val="007D2C76"/>
    <w:rsid w:val="007D2F4A"/>
    <w:rsid w:val="007D46B4"/>
    <w:rsid w:val="007D47B0"/>
    <w:rsid w:val="007D4979"/>
    <w:rsid w:val="007D51FC"/>
    <w:rsid w:val="007D5AB2"/>
    <w:rsid w:val="007D610C"/>
    <w:rsid w:val="007D668F"/>
    <w:rsid w:val="007D7EB1"/>
    <w:rsid w:val="007D7F49"/>
    <w:rsid w:val="007E03B5"/>
    <w:rsid w:val="007E1D89"/>
    <w:rsid w:val="007E1DB8"/>
    <w:rsid w:val="007E2E23"/>
    <w:rsid w:val="007E2F26"/>
    <w:rsid w:val="007E2F6C"/>
    <w:rsid w:val="007E31A0"/>
    <w:rsid w:val="007E45E1"/>
    <w:rsid w:val="007E49EF"/>
    <w:rsid w:val="007E4D1C"/>
    <w:rsid w:val="007E4DC5"/>
    <w:rsid w:val="007E531A"/>
    <w:rsid w:val="007E5C03"/>
    <w:rsid w:val="007E5E26"/>
    <w:rsid w:val="007E6221"/>
    <w:rsid w:val="007E62AC"/>
    <w:rsid w:val="007E62C9"/>
    <w:rsid w:val="007E648D"/>
    <w:rsid w:val="007E69D8"/>
    <w:rsid w:val="007E6E5A"/>
    <w:rsid w:val="007E71F7"/>
    <w:rsid w:val="007F04B2"/>
    <w:rsid w:val="007F2627"/>
    <w:rsid w:val="007F32FA"/>
    <w:rsid w:val="007F3A6A"/>
    <w:rsid w:val="007F4225"/>
    <w:rsid w:val="007F4901"/>
    <w:rsid w:val="007F4906"/>
    <w:rsid w:val="007F4920"/>
    <w:rsid w:val="007F4D97"/>
    <w:rsid w:val="007F51DA"/>
    <w:rsid w:val="007F533F"/>
    <w:rsid w:val="007F5811"/>
    <w:rsid w:val="007F5B48"/>
    <w:rsid w:val="007F5BBE"/>
    <w:rsid w:val="007F64EF"/>
    <w:rsid w:val="007F6583"/>
    <w:rsid w:val="007F6795"/>
    <w:rsid w:val="007F67AE"/>
    <w:rsid w:val="007F7224"/>
    <w:rsid w:val="007F7503"/>
    <w:rsid w:val="007F7623"/>
    <w:rsid w:val="007F7922"/>
    <w:rsid w:val="007F795A"/>
    <w:rsid w:val="007F79FF"/>
    <w:rsid w:val="00800368"/>
    <w:rsid w:val="00800862"/>
    <w:rsid w:val="0080111D"/>
    <w:rsid w:val="00801304"/>
    <w:rsid w:val="00801409"/>
    <w:rsid w:val="00801761"/>
    <w:rsid w:val="00801BF3"/>
    <w:rsid w:val="00801F94"/>
    <w:rsid w:val="00802502"/>
    <w:rsid w:val="00802888"/>
    <w:rsid w:val="00802FF5"/>
    <w:rsid w:val="00803DA5"/>
    <w:rsid w:val="00803DF5"/>
    <w:rsid w:val="00804315"/>
    <w:rsid w:val="008044BD"/>
    <w:rsid w:val="00805230"/>
    <w:rsid w:val="00805452"/>
    <w:rsid w:val="0080582B"/>
    <w:rsid w:val="00805975"/>
    <w:rsid w:val="008065A8"/>
    <w:rsid w:val="008069F6"/>
    <w:rsid w:val="008071B0"/>
    <w:rsid w:val="00810422"/>
    <w:rsid w:val="008107A6"/>
    <w:rsid w:val="0081107D"/>
    <w:rsid w:val="008110EC"/>
    <w:rsid w:val="00811199"/>
    <w:rsid w:val="008115AD"/>
    <w:rsid w:val="0081161B"/>
    <w:rsid w:val="0081180A"/>
    <w:rsid w:val="00812D37"/>
    <w:rsid w:val="008137E1"/>
    <w:rsid w:val="00813B1B"/>
    <w:rsid w:val="00813D95"/>
    <w:rsid w:val="0081489A"/>
    <w:rsid w:val="00815AE2"/>
    <w:rsid w:val="00815D45"/>
    <w:rsid w:val="00816442"/>
    <w:rsid w:val="008165F5"/>
    <w:rsid w:val="0081720E"/>
    <w:rsid w:val="00817729"/>
    <w:rsid w:val="00820409"/>
    <w:rsid w:val="00820498"/>
    <w:rsid w:val="00820C39"/>
    <w:rsid w:val="00821743"/>
    <w:rsid w:val="008219D6"/>
    <w:rsid w:val="00821BD4"/>
    <w:rsid w:val="00821C6D"/>
    <w:rsid w:val="008224B1"/>
    <w:rsid w:val="008225F4"/>
    <w:rsid w:val="00822CC1"/>
    <w:rsid w:val="00822DBB"/>
    <w:rsid w:val="00822DBC"/>
    <w:rsid w:val="0082383C"/>
    <w:rsid w:val="00823992"/>
    <w:rsid w:val="00823B32"/>
    <w:rsid w:val="00824085"/>
    <w:rsid w:val="00824589"/>
    <w:rsid w:val="008259DA"/>
    <w:rsid w:val="00825D7F"/>
    <w:rsid w:val="00826163"/>
    <w:rsid w:val="008268D1"/>
    <w:rsid w:val="00826EFC"/>
    <w:rsid w:val="00827567"/>
    <w:rsid w:val="008275F7"/>
    <w:rsid w:val="00827960"/>
    <w:rsid w:val="00827C7C"/>
    <w:rsid w:val="00827E4C"/>
    <w:rsid w:val="008310F6"/>
    <w:rsid w:val="0083131D"/>
    <w:rsid w:val="00831B51"/>
    <w:rsid w:val="008322E4"/>
    <w:rsid w:val="00832889"/>
    <w:rsid w:val="00832A58"/>
    <w:rsid w:val="00833A99"/>
    <w:rsid w:val="0083412D"/>
    <w:rsid w:val="00834E6F"/>
    <w:rsid w:val="00835243"/>
    <w:rsid w:val="0083594E"/>
    <w:rsid w:val="00835BDA"/>
    <w:rsid w:val="00835C0F"/>
    <w:rsid w:val="00836E7D"/>
    <w:rsid w:val="00837292"/>
    <w:rsid w:val="00837B38"/>
    <w:rsid w:val="00840E8D"/>
    <w:rsid w:val="008415DF"/>
    <w:rsid w:val="00841F95"/>
    <w:rsid w:val="0084280D"/>
    <w:rsid w:val="00843ADA"/>
    <w:rsid w:val="00844597"/>
    <w:rsid w:val="00845410"/>
    <w:rsid w:val="008457D3"/>
    <w:rsid w:val="00845A2C"/>
    <w:rsid w:val="00845BB2"/>
    <w:rsid w:val="00845BB8"/>
    <w:rsid w:val="00845D8F"/>
    <w:rsid w:val="008463D7"/>
    <w:rsid w:val="00847238"/>
    <w:rsid w:val="00847524"/>
    <w:rsid w:val="00850E36"/>
    <w:rsid w:val="00851371"/>
    <w:rsid w:val="00851D12"/>
    <w:rsid w:val="00851F3E"/>
    <w:rsid w:val="00851FEA"/>
    <w:rsid w:val="008536D5"/>
    <w:rsid w:val="00853B94"/>
    <w:rsid w:val="00853EA7"/>
    <w:rsid w:val="00853F24"/>
    <w:rsid w:val="00853F3F"/>
    <w:rsid w:val="00853F54"/>
    <w:rsid w:val="00854170"/>
    <w:rsid w:val="0085453E"/>
    <w:rsid w:val="00854B64"/>
    <w:rsid w:val="00854F4C"/>
    <w:rsid w:val="0085510E"/>
    <w:rsid w:val="008552E6"/>
    <w:rsid w:val="008557FF"/>
    <w:rsid w:val="008560F4"/>
    <w:rsid w:val="008569BA"/>
    <w:rsid w:val="00856FB2"/>
    <w:rsid w:val="008574E7"/>
    <w:rsid w:val="00857978"/>
    <w:rsid w:val="008600E9"/>
    <w:rsid w:val="008608D9"/>
    <w:rsid w:val="00860900"/>
    <w:rsid w:val="0086148C"/>
    <w:rsid w:val="00861547"/>
    <w:rsid w:val="00861672"/>
    <w:rsid w:val="00861CED"/>
    <w:rsid w:val="00862AA9"/>
    <w:rsid w:val="00862F1D"/>
    <w:rsid w:val="008631A1"/>
    <w:rsid w:val="00863309"/>
    <w:rsid w:val="008636CB"/>
    <w:rsid w:val="00865107"/>
    <w:rsid w:val="008659EE"/>
    <w:rsid w:val="00865A16"/>
    <w:rsid w:val="008660C5"/>
    <w:rsid w:val="008665B3"/>
    <w:rsid w:val="0086678C"/>
    <w:rsid w:val="008669AA"/>
    <w:rsid w:val="00866BB9"/>
    <w:rsid w:val="00866C61"/>
    <w:rsid w:val="00866EEB"/>
    <w:rsid w:val="00867770"/>
    <w:rsid w:val="0087084C"/>
    <w:rsid w:val="00870C58"/>
    <w:rsid w:val="00870E31"/>
    <w:rsid w:val="00871309"/>
    <w:rsid w:val="008718DC"/>
    <w:rsid w:val="0087256C"/>
    <w:rsid w:val="00872AE2"/>
    <w:rsid w:val="00872C4C"/>
    <w:rsid w:val="00872FCB"/>
    <w:rsid w:val="008732FA"/>
    <w:rsid w:val="00873C5F"/>
    <w:rsid w:val="00873DAD"/>
    <w:rsid w:val="008741ED"/>
    <w:rsid w:val="00874533"/>
    <w:rsid w:val="008748C0"/>
    <w:rsid w:val="00874DE7"/>
    <w:rsid w:val="00875505"/>
    <w:rsid w:val="00875F58"/>
    <w:rsid w:val="00876028"/>
    <w:rsid w:val="008766A3"/>
    <w:rsid w:val="008769C0"/>
    <w:rsid w:val="0088087D"/>
    <w:rsid w:val="00880932"/>
    <w:rsid w:val="00880D4F"/>
    <w:rsid w:val="008811B9"/>
    <w:rsid w:val="00881833"/>
    <w:rsid w:val="008818F0"/>
    <w:rsid w:val="0088194D"/>
    <w:rsid w:val="008823AE"/>
    <w:rsid w:val="00882440"/>
    <w:rsid w:val="00882783"/>
    <w:rsid w:val="0088284F"/>
    <w:rsid w:val="00883083"/>
    <w:rsid w:val="00883396"/>
    <w:rsid w:val="008835B7"/>
    <w:rsid w:val="008839B8"/>
    <w:rsid w:val="00883B00"/>
    <w:rsid w:val="00883C2D"/>
    <w:rsid w:val="00884E70"/>
    <w:rsid w:val="00885263"/>
    <w:rsid w:val="008859FB"/>
    <w:rsid w:val="00885F16"/>
    <w:rsid w:val="00886249"/>
    <w:rsid w:val="00886464"/>
    <w:rsid w:val="00886485"/>
    <w:rsid w:val="0088742E"/>
    <w:rsid w:val="0088750A"/>
    <w:rsid w:val="00887B03"/>
    <w:rsid w:val="0089063E"/>
    <w:rsid w:val="0089118F"/>
    <w:rsid w:val="008922BA"/>
    <w:rsid w:val="00892320"/>
    <w:rsid w:val="00892446"/>
    <w:rsid w:val="00892603"/>
    <w:rsid w:val="00892913"/>
    <w:rsid w:val="00892968"/>
    <w:rsid w:val="00893558"/>
    <w:rsid w:val="00893904"/>
    <w:rsid w:val="00894336"/>
    <w:rsid w:val="0089446C"/>
    <w:rsid w:val="008947D0"/>
    <w:rsid w:val="00894968"/>
    <w:rsid w:val="00895087"/>
    <w:rsid w:val="008955A7"/>
    <w:rsid w:val="00895A66"/>
    <w:rsid w:val="00895B12"/>
    <w:rsid w:val="00895DEA"/>
    <w:rsid w:val="00895EF5"/>
    <w:rsid w:val="008961E5"/>
    <w:rsid w:val="0089632C"/>
    <w:rsid w:val="00896383"/>
    <w:rsid w:val="0089655A"/>
    <w:rsid w:val="00896D19"/>
    <w:rsid w:val="008975A4"/>
    <w:rsid w:val="008A03BC"/>
    <w:rsid w:val="008A0AFC"/>
    <w:rsid w:val="008A0C6F"/>
    <w:rsid w:val="008A0F1F"/>
    <w:rsid w:val="008A0FE9"/>
    <w:rsid w:val="008A1C6A"/>
    <w:rsid w:val="008A206E"/>
    <w:rsid w:val="008A2086"/>
    <w:rsid w:val="008A210A"/>
    <w:rsid w:val="008A24BC"/>
    <w:rsid w:val="008A25C5"/>
    <w:rsid w:val="008A4238"/>
    <w:rsid w:val="008A51E5"/>
    <w:rsid w:val="008A57C1"/>
    <w:rsid w:val="008A6292"/>
    <w:rsid w:val="008A6505"/>
    <w:rsid w:val="008A68BB"/>
    <w:rsid w:val="008A6C33"/>
    <w:rsid w:val="008A6D5F"/>
    <w:rsid w:val="008A7406"/>
    <w:rsid w:val="008B018C"/>
    <w:rsid w:val="008B04EE"/>
    <w:rsid w:val="008B07D1"/>
    <w:rsid w:val="008B0AF9"/>
    <w:rsid w:val="008B189C"/>
    <w:rsid w:val="008B1E2E"/>
    <w:rsid w:val="008B1FE1"/>
    <w:rsid w:val="008B246A"/>
    <w:rsid w:val="008B2AE1"/>
    <w:rsid w:val="008B2DC0"/>
    <w:rsid w:val="008B2F28"/>
    <w:rsid w:val="008B379B"/>
    <w:rsid w:val="008B3D90"/>
    <w:rsid w:val="008B40E7"/>
    <w:rsid w:val="008B47A6"/>
    <w:rsid w:val="008B4B60"/>
    <w:rsid w:val="008B4FB5"/>
    <w:rsid w:val="008B5219"/>
    <w:rsid w:val="008B532C"/>
    <w:rsid w:val="008B5878"/>
    <w:rsid w:val="008B5E90"/>
    <w:rsid w:val="008B6307"/>
    <w:rsid w:val="008B6C0C"/>
    <w:rsid w:val="008B77B9"/>
    <w:rsid w:val="008B7CD8"/>
    <w:rsid w:val="008B7E37"/>
    <w:rsid w:val="008C0AC5"/>
    <w:rsid w:val="008C0D33"/>
    <w:rsid w:val="008C1005"/>
    <w:rsid w:val="008C10F9"/>
    <w:rsid w:val="008C112C"/>
    <w:rsid w:val="008C1822"/>
    <w:rsid w:val="008C1CE1"/>
    <w:rsid w:val="008C2423"/>
    <w:rsid w:val="008C25AD"/>
    <w:rsid w:val="008C2A08"/>
    <w:rsid w:val="008C2CAD"/>
    <w:rsid w:val="008C3163"/>
    <w:rsid w:val="008C32B3"/>
    <w:rsid w:val="008C3893"/>
    <w:rsid w:val="008C4B29"/>
    <w:rsid w:val="008C5495"/>
    <w:rsid w:val="008C589A"/>
    <w:rsid w:val="008C60C0"/>
    <w:rsid w:val="008C60FE"/>
    <w:rsid w:val="008C6192"/>
    <w:rsid w:val="008C6862"/>
    <w:rsid w:val="008C69BC"/>
    <w:rsid w:val="008C6B32"/>
    <w:rsid w:val="008C6D1C"/>
    <w:rsid w:val="008C6DE2"/>
    <w:rsid w:val="008C7995"/>
    <w:rsid w:val="008C7D59"/>
    <w:rsid w:val="008C7EA2"/>
    <w:rsid w:val="008D0100"/>
    <w:rsid w:val="008D0896"/>
    <w:rsid w:val="008D09B9"/>
    <w:rsid w:val="008D0E42"/>
    <w:rsid w:val="008D1AEE"/>
    <w:rsid w:val="008D1D34"/>
    <w:rsid w:val="008D1ED2"/>
    <w:rsid w:val="008D223D"/>
    <w:rsid w:val="008D2535"/>
    <w:rsid w:val="008D27E6"/>
    <w:rsid w:val="008D4522"/>
    <w:rsid w:val="008D4579"/>
    <w:rsid w:val="008D4EE6"/>
    <w:rsid w:val="008D513C"/>
    <w:rsid w:val="008D549D"/>
    <w:rsid w:val="008D5B8C"/>
    <w:rsid w:val="008D5C14"/>
    <w:rsid w:val="008D6165"/>
    <w:rsid w:val="008D61B7"/>
    <w:rsid w:val="008D6783"/>
    <w:rsid w:val="008D701C"/>
    <w:rsid w:val="008E051C"/>
    <w:rsid w:val="008E06DC"/>
    <w:rsid w:val="008E1D5C"/>
    <w:rsid w:val="008E29CF"/>
    <w:rsid w:val="008E2AE3"/>
    <w:rsid w:val="008E2C4D"/>
    <w:rsid w:val="008E30F9"/>
    <w:rsid w:val="008E3FDE"/>
    <w:rsid w:val="008E4208"/>
    <w:rsid w:val="008E42F8"/>
    <w:rsid w:val="008E4612"/>
    <w:rsid w:val="008E4EB7"/>
    <w:rsid w:val="008E4F97"/>
    <w:rsid w:val="008E5152"/>
    <w:rsid w:val="008E5166"/>
    <w:rsid w:val="008E5985"/>
    <w:rsid w:val="008E59B3"/>
    <w:rsid w:val="008E6653"/>
    <w:rsid w:val="008E6881"/>
    <w:rsid w:val="008E6CB7"/>
    <w:rsid w:val="008E7601"/>
    <w:rsid w:val="008E7B26"/>
    <w:rsid w:val="008E7DA0"/>
    <w:rsid w:val="008F00E4"/>
    <w:rsid w:val="008F0968"/>
    <w:rsid w:val="008F0D0B"/>
    <w:rsid w:val="008F14A3"/>
    <w:rsid w:val="008F1AE2"/>
    <w:rsid w:val="008F1B3A"/>
    <w:rsid w:val="008F3FD5"/>
    <w:rsid w:val="008F46EB"/>
    <w:rsid w:val="008F49CE"/>
    <w:rsid w:val="008F4B58"/>
    <w:rsid w:val="008F7561"/>
    <w:rsid w:val="008F7D50"/>
    <w:rsid w:val="008F7FF7"/>
    <w:rsid w:val="00900620"/>
    <w:rsid w:val="009008F3"/>
    <w:rsid w:val="00900C2F"/>
    <w:rsid w:val="009020E5"/>
    <w:rsid w:val="00902407"/>
    <w:rsid w:val="0090247D"/>
    <w:rsid w:val="009024A7"/>
    <w:rsid w:val="009027C4"/>
    <w:rsid w:val="00902BBA"/>
    <w:rsid w:val="00903F8A"/>
    <w:rsid w:val="00904478"/>
    <w:rsid w:val="00904877"/>
    <w:rsid w:val="00904FEE"/>
    <w:rsid w:val="009052B2"/>
    <w:rsid w:val="00905740"/>
    <w:rsid w:val="00906555"/>
    <w:rsid w:val="00906BA8"/>
    <w:rsid w:val="00906BB4"/>
    <w:rsid w:val="00910482"/>
    <w:rsid w:val="0091079A"/>
    <w:rsid w:val="00910EF8"/>
    <w:rsid w:val="00910FEB"/>
    <w:rsid w:val="0091122F"/>
    <w:rsid w:val="00911466"/>
    <w:rsid w:val="00911643"/>
    <w:rsid w:val="009117BA"/>
    <w:rsid w:val="00911907"/>
    <w:rsid w:val="009122E3"/>
    <w:rsid w:val="00912752"/>
    <w:rsid w:val="00912C26"/>
    <w:rsid w:val="009134DF"/>
    <w:rsid w:val="00913577"/>
    <w:rsid w:val="00913A38"/>
    <w:rsid w:val="00913C54"/>
    <w:rsid w:val="009143CB"/>
    <w:rsid w:val="00914963"/>
    <w:rsid w:val="00914A2B"/>
    <w:rsid w:val="00914A73"/>
    <w:rsid w:val="00914C9A"/>
    <w:rsid w:val="009153D1"/>
    <w:rsid w:val="00915965"/>
    <w:rsid w:val="009160C9"/>
    <w:rsid w:val="009161E2"/>
    <w:rsid w:val="0091662E"/>
    <w:rsid w:val="0091696C"/>
    <w:rsid w:val="00916E2F"/>
    <w:rsid w:val="0091735E"/>
    <w:rsid w:val="00917443"/>
    <w:rsid w:val="00920BCF"/>
    <w:rsid w:val="0092152A"/>
    <w:rsid w:val="009219EA"/>
    <w:rsid w:val="00921EBD"/>
    <w:rsid w:val="00921FD2"/>
    <w:rsid w:val="009224C1"/>
    <w:rsid w:val="009225F7"/>
    <w:rsid w:val="00922C0C"/>
    <w:rsid w:val="00923C34"/>
    <w:rsid w:val="00924ABC"/>
    <w:rsid w:val="00925136"/>
    <w:rsid w:val="009254A3"/>
    <w:rsid w:val="00925D56"/>
    <w:rsid w:val="00925F2E"/>
    <w:rsid w:val="009272EB"/>
    <w:rsid w:val="009274C6"/>
    <w:rsid w:val="0093000A"/>
    <w:rsid w:val="00930A44"/>
    <w:rsid w:val="00931CE5"/>
    <w:rsid w:val="0093277B"/>
    <w:rsid w:val="00932F03"/>
    <w:rsid w:val="00932FBE"/>
    <w:rsid w:val="00933696"/>
    <w:rsid w:val="00933940"/>
    <w:rsid w:val="00933C28"/>
    <w:rsid w:val="00934255"/>
    <w:rsid w:val="0093455E"/>
    <w:rsid w:val="00935374"/>
    <w:rsid w:val="009354F2"/>
    <w:rsid w:val="0093571F"/>
    <w:rsid w:val="0093598D"/>
    <w:rsid w:val="009366A3"/>
    <w:rsid w:val="009379F6"/>
    <w:rsid w:val="00937F96"/>
    <w:rsid w:val="009404FD"/>
    <w:rsid w:val="0094086A"/>
    <w:rsid w:val="009408B3"/>
    <w:rsid w:val="00940A95"/>
    <w:rsid w:val="00940FCC"/>
    <w:rsid w:val="009419A6"/>
    <w:rsid w:val="00941B93"/>
    <w:rsid w:val="009425E9"/>
    <w:rsid w:val="009430E2"/>
    <w:rsid w:val="009432D9"/>
    <w:rsid w:val="00943A44"/>
    <w:rsid w:val="00943AA0"/>
    <w:rsid w:val="00943EC7"/>
    <w:rsid w:val="00944105"/>
    <w:rsid w:val="00944F9C"/>
    <w:rsid w:val="009460A9"/>
    <w:rsid w:val="00946A76"/>
    <w:rsid w:val="0094709E"/>
    <w:rsid w:val="0094757C"/>
    <w:rsid w:val="00947684"/>
    <w:rsid w:val="0095094B"/>
    <w:rsid w:val="00950DE1"/>
    <w:rsid w:val="0095111A"/>
    <w:rsid w:val="00951169"/>
    <w:rsid w:val="009511BB"/>
    <w:rsid w:val="0095168F"/>
    <w:rsid w:val="00952086"/>
    <w:rsid w:val="0095249F"/>
    <w:rsid w:val="00952E32"/>
    <w:rsid w:val="0095354B"/>
    <w:rsid w:val="009538E5"/>
    <w:rsid w:val="009539AD"/>
    <w:rsid w:val="00953B49"/>
    <w:rsid w:val="00953FDC"/>
    <w:rsid w:val="00954D07"/>
    <w:rsid w:val="0095697F"/>
    <w:rsid w:val="00960033"/>
    <w:rsid w:val="0096074D"/>
    <w:rsid w:val="00960A40"/>
    <w:rsid w:val="00960CF4"/>
    <w:rsid w:val="00961AA3"/>
    <w:rsid w:val="00961FE9"/>
    <w:rsid w:val="009620AE"/>
    <w:rsid w:val="00962438"/>
    <w:rsid w:val="009625E7"/>
    <w:rsid w:val="00962A8D"/>
    <w:rsid w:val="00963831"/>
    <w:rsid w:val="00963EB2"/>
    <w:rsid w:val="00963FDD"/>
    <w:rsid w:val="0096409A"/>
    <w:rsid w:val="0096450C"/>
    <w:rsid w:val="00964960"/>
    <w:rsid w:val="009649FC"/>
    <w:rsid w:val="00965201"/>
    <w:rsid w:val="009656C7"/>
    <w:rsid w:val="00965A48"/>
    <w:rsid w:val="00966066"/>
    <w:rsid w:val="00966AF1"/>
    <w:rsid w:val="00967528"/>
    <w:rsid w:val="00967999"/>
    <w:rsid w:val="00967AB8"/>
    <w:rsid w:val="0097018B"/>
    <w:rsid w:val="00970563"/>
    <w:rsid w:val="009707B6"/>
    <w:rsid w:val="00970914"/>
    <w:rsid w:val="00970D74"/>
    <w:rsid w:val="00971983"/>
    <w:rsid w:val="00971A64"/>
    <w:rsid w:val="00971CE3"/>
    <w:rsid w:val="00971E61"/>
    <w:rsid w:val="009724DF"/>
    <w:rsid w:val="009730E9"/>
    <w:rsid w:val="00973F4B"/>
    <w:rsid w:val="009745FD"/>
    <w:rsid w:val="0097506C"/>
    <w:rsid w:val="00975F75"/>
    <w:rsid w:val="009766D8"/>
    <w:rsid w:val="00976AD5"/>
    <w:rsid w:val="00976C47"/>
    <w:rsid w:val="00976C6D"/>
    <w:rsid w:val="009803B0"/>
    <w:rsid w:val="00981020"/>
    <w:rsid w:val="0098160D"/>
    <w:rsid w:val="00981C1D"/>
    <w:rsid w:val="00981C94"/>
    <w:rsid w:val="00981DA2"/>
    <w:rsid w:val="00982CE9"/>
    <w:rsid w:val="009831AC"/>
    <w:rsid w:val="00983642"/>
    <w:rsid w:val="009839BF"/>
    <w:rsid w:val="00984226"/>
    <w:rsid w:val="00984452"/>
    <w:rsid w:val="0098459B"/>
    <w:rsid w:val="00984EE3"/>
    <w:rsid w:val="0098532E"/>
    <w:rsid w:val="00985381"/>
    <w:rsid w:val="009853FD"/>
    <w:rsid w:val="00985C32"/>
    <w:rsid w:val="00985D9E"/>
    <w:rsid w:val="00986096"/>
    <w:rsid w:val="009860F1"/>
    <w:rsid w:val="009869C8"/>
    <w:rsid w:val="00986FA8"/>
    <w:rsid w:val="009876A8"/>
    <w:rsid w:val="00987814"/>
    <w:rsid w:val="00987C19"/>
    <w:rsid w:val="00987D4A"/>
    <w:rsid w:val="009901D2"/>
    <w:rsid w:val="0099148C"/>
    <w:rsid w:val="00991A5A"/>
    <w:rsid w:val="00991AF6"/>
    <w:rsid w:val="00991C16"/>
    <w:rsid w:val="009928FC"/>
    <w:rsid w:val="00993B11"/>
    <w:rsid w:val="00993C86"/>
    <w:rsid w:val="00993DC3"/>
    <w:rsid w:val="009945C1"/>
    <w:rsid w:val="00994767"/>
    <w:rsid w:val="0099490F"/>
    <w:rsid w:val="00994F2F"/>
    <w:rsid w:val="0099507E"/>
    <w:rsid w:val="0099618B"/>
    <w:rsid w:val="0099642F"/>
    <w:rsid w:val="00996DA1"/>
    <w:rsid w:val="0099744C"/>
    <w:rsid w:val="009A010D"/>
    <w:rsid w:val="009A02AD"/>
    <w:rsid w:val="009A0E9E"/>
    <w:rsid w:val="009A1F6A"/>
    <w:rsid w:val="009A25FA"/>
    <w:rsid w:val="009A27ED"/>
    <w:rsid w:val="009A2C64"/>
    <w:rsid w:val="009A2E13"/>
    <w:rsid w:val="009A30EE"/>
    <w:rsid w:val="009A31EF"/>
    <w:rsid w:val="009A3C7D"/>
    <w:rsid w:val="009A3DBA"/>
    <w:rsid w:val="009A49BC"/>
    <w:rsid w:val="009A5BF6"/>
    <w:rsid w:val="009A60FC"/>
    <w:rsid w:val="009A62BC"/>
    <w:rsid w:val="009A67A0"/>
    <w:rsid w:val="009A6909"/>
    <w:rsid w:val="009A6A9A"/>
    <w:rsid w:val="009A6E26"/>
    <w:rsid w:val="009A76D4"/>
    <w:rsid w:val="009B02C0"/>
    <w:rsid w:val="009B0DAB"/>
    <w:rsid w:val="009B1934"/>
    <w:rsid w:val="009B1B84"/>
    <w:rsid w:val="009B1EAD"/>
    <w:rsid w:val="009B2D70"/>
    <w:rsid w:val="009B2FF4"/>
    <w:rsid w:val="009B415A"/>
    <w:rsid w:val="009B46C3"/>
    <w:rsid w:val="009B46D3"/>
    <w:rsid w:val="009B51B0"/>
    <w:rsid w:val="009B5846"/>
    <w:rsid w:val="009B5F58"/>
    <w:rsid w:val="009B60C9"/>
    <w:rsid w:val="009B64D2"/>
    <w:rsid w:val="009B6C13"/>
    <w:rsid w:val="009B726D"/>
    <w:rsid w:val="009B74EA"/>
    <w:rsid w:val="009B76D5"/>
    <w:rsid w:val="009B7A19"/>
    <w:rsid w:val="009C06A8"/>
    <w:rsid w:val="009C0A2A"/>
    <w:rsid w:val="009C0B4E"/>
    <w:rsid w:val="009C26E9"/>
    <w:rsid w:val="009C29FF"/>
    <w:rsid w:val="009C3525"/>
    <w:rsid w:val="009C3529"/>
    <w:rsid w:val="009C38A3"/>
    <w:rsid w:val="009C4320"/>
    <w:rsid w:val="009C4682"/>
    <w:rsid w:val="009C5487"/>
    <w:rsid w:val="009C5695"/>
    <w:rsid w:val="009C592E"/>
    <w:rsid w:val="009C5C17"/>
    <w:rsid w:val="009C6DC5"/>
    <w:rsid w:val="009C7321"/>
    <w:rsid w:val="009C7733"/>
    <w:rsid w:val="009C7D17"/>
    <w:rsid w:val="009D0358"/>
    <w:rsid w:val="009D0554"/>
    <w:rsid w:val="009D055B"/>
    <w:rsid w:val="009D0594"/>
    <w:rsid w:val="009D0F91"/>
    <w:rsid w:val="009D116D"/>
    <w:rsid w:val="009D1A82"/>
    <w:rsid w:val="009D1F6B"/>
    <w:rsid w:val="009D2159"/>
    <w:rsid w:val="009D2625"/>
    <w:rsid w:val="009D283B"/>
    <w:rsid w:val="009D34BA"/>
    <w:rsid w:val="009D38E6"/>
    <w:rsid w:val="009D39F7"/>
    <w:rsid w:val="009D3A0F"/>
    <w:rsid w:val="009D3B6E"/>
    <w:rsid w:val="009D4160"/>
    <w:rsid w:val="009D41E7"/>
    <w:rsid w:val="009D4524"/>
    <w:rsid w:val="009D4965"/>
    <w:rsid w:val="009D5004"/>
    <w:rsid w:val="009D555C"/>
    <w:rsid w:val="009D5562"/>
    <w:rsid w:val="009D566D"/>
    <w:rsid w:val="009D5FD5"/>
    <w:rsid w:val="009D63E5"/>
    <w:rsid w:val="009D6540"/>
    <w:rsid w:val="009D695C"/>
    <w:rsid w:val="009D6E90"/>
    <w:rsid w:val="009E03C1"/>
    <w:rsid w:val="009E088C"/>
    <w:rsid w:val="009E0980"/>
    <w:rsid w:val="009E0AE4"/>
    <w:rsid w:val="009E0B9A"/>
    <w:rsid w:val="009E0D87"/>
    <w:rsid w:val="009E0E1D"/>
    <w:rsid w:val="009E0E30"/>
    <w:rsid w:val="009E137E"/>
    <w:rsid w:val="009E1863"/>
    <w:rsid w:val="009E1AC8"/>
    <w:rsid w:val="009E200E"/>
    <w:rsid w:val="009E250B"/>
    <w:rsid w:val="009E3340"/>
    <w:rsid w:val="009E338C"/>
    <w:rsid w:val="009E3724"/>
    <w:rsid w:val="009E3DD0"/>
    <w:rsid w:val="009E3F1F"/>
    <w:rsid w:val="009E510E"/>
    <w:rsid w:val="009E5BDB"/>
    <w:rsid w:val="009E5F7D"/>
    <w:rsid w:val="009E60E7"/>
    <w:rsid w:val="009E60F9"/>
    <w:rsid w:val="009E6215"/>
    <w:rsid w:val="009E6E16"/>
    <w:rsid w:val="009E7133"/>
    <w:rsid w:val="009E7986"/>
    <w:rsid w:val="009F03B3"/>
    <w:rsid w:val="009F0EEC"/>
    <w:rsid w:val="009F19EB"/>
    <w:rsid w:val="009F1AFD"/>
    <w:rsid w:val="009F1D39"/>
    <w:rsid w:val="009F26D0"/>
    <w:rsid w:val="009F2BD9"/>
    <w:rsid w:val="009F3064"/>
    <w:rsid w:val="009F4CA9"/>
    <w:rsid w:val="009F4E87"/>
    <w:rsid w:val="009F4FA1"/>
    <w:rsid w:val="009F53AF"/>
    <w:rsid w:val="009F595C"/>
    <w:rsid w:val="009F6040"/>
    <w:rsid w:val="009F61E0"/>
    <w:rsid w:val="009F6637"/>
    <w:rsid w:val="009F6BF3"/>
    <w:rsid w:val="009F6E85"/>
    <w:rsid w:val="009F72BB"/>
    <w:rsid w:val="009F7588"/>
    <w:rsid w:val="00A00825"/>
    <w:rsid w:val="00A00B0B"/>
    <w:rsid w:val="00A01482"/>
    <w:rsid w:val="00A019AB"/>
    <w:rsid w:val="00A019C2"/>
    <w:rsid w:val="00A01D72"/>
    <w:rsid w:val="00A01F53"/>
    <w:rsid w:val="00A02E73"/>
    <w:rsid w:val="00A02F94"/>
    <w:rsid w:val="00A04146"/>
    <w:rsid w:val="00A04C3B"/>
    <w:rsid w:val="00A04CE5"/>
    <w:rsid w:val="00A04ED0"/>
    <w:rsid w:val="00A05143"/>
    <w:rsid w:val="00A051DC"/>
    <w:rsid w:val="00A05823"/>
    <w:rsid w:val="00A061F2"/>
    <w:rsid w:val="00A06D0F"/>
    <w:rsid w:val="00A07440"/>
    <w:rsid w:val="00A07946"/>
    <w:rsid w:val="00A1031E"/>
    <w:rsid w:val="00A1099E"/>
    <w:rsid w:val="00A10A6B"/>
    <w:rsid w:val="00A10D6A"/>
    <w:rsid w:val="00A10EBC"/>
    <w:rsid w:val="00A10FE0"/>
    <w:rsid w:val="00A111A0"/>
    <w:rsid w:val="00A11EFA"/>
    <w:rsid w:val="00A144DB"/>
    <w:rsid w:val="00A14D1C"/>
    <w:rsid w:val="00A150B8"/>
    <w:rsid w:val="00A15BD1"/>
    <w:rsid w:val="00A15FAC"/>
    <w:rsid w:val="00A16003"/>
    <w:rsid w:val="00A1608F"/>
    <w:rsid w:val="00A17845"/>
    <w:rsid w:val="00A17967"/>
    <w:rsid w:val="00A207C1"/>
    <w:rsid w:val="00A20B0D"/>
    <w:rsid w:val="00A20B1C"/>
    <w:rsid w:val="00A20C8B"/>
    <w:rsid w:val="00A22494"/>
    <w:rsid w:val="00A224B5"/>
    <w:rsid w:val="00A227CB"/>
    <w:rsid w:val="00A22F54"/>
    <w:rsid w:val="00A232D4"/>
    <w:rsid w:val="00A23527"/>
    <w:rsid w:val="00A2383F"/>
    <w:rsid w:val="00A23C3E"/>
    <w:rsid w:val="00A23F20"/>
    <w:rsid w:val="00A24E8E"/>
    <w:rsid w:val="00A251CD"/>
    <w:rsid w:val="00A255A8"/>
    <w:rsid w:val="00A259ED"/>
    <w:rsid w:val="00A25B03"/>
    <w:rsid w:val="00A25B18"/>
    <w:rsid w:val="00A25CDA"/>
    <w:rsid w:val="00A2715A"/>
    <w:rsid w:val="00A27BB9"/>
    <w:rsid w:val="00A27C3A"/>
    <w:rsid w:val="00A307A2"/>
    <w:rsid w:val="00A307D1"/>
    <w:rsid w:val="00A30D2B"/>
    <w:rsid w:val="00A30DA7"/>
    <w:rsid w:val="00A31339"/>
    <w:rsid w:val="00A31A30"/>
    <w:rsid w:val="00A31E87"/>
    <w:rsid w:val="00A32A13"/>
    <w:rsid w:val="00A32C0F"/>
    <w:rsid w:val="00A32D4E"/>
    <w:rsid w:val="00A33711"/>
    <w:rsid w:val="00A33EB9"/>
    <w:rsid w:val="00A3404D"/>
    <w:rsid w:val="00A34533"/>
    <w:rsid w:val="00A34A9F"/>
    <w:rsid w:val="00A35476"/>
    <w:rsid w:val="00A3575B"/>
    <w:rsid w:val="00A35F0F"/>
    <w:rsid w:val="00A35FEC"/>
    <w:rsid w:val="00A40149"/>
    <w:rsid w:val="00A401B8"/>
    <w:rsid w:val="00A40E07"/>
    <w:rsid w:val="00A419B1"/>
    <w:rsid w:val="00A42823"/>
    <w:rsid w:val="00A430D8"/>
    <w:rsid w:val="00A433EE"/>
    <w:rsid w:val="00A43C85"/>
    <w:rsid w:val="00A43CEB"/>
    <w:rsid w:val="00A43E32"/>
    <w:rsid w:val="00A44889"/>
    <w:rsid w:val="00A44E31"/>
    <w:rsid w:val="00A45C43"/>
    <w:rsid w:val="00A45F69"/>
    <w:rsid w:val="00A46418"/>
    <w:rsid w:val="00A4685B"/>
    <w:rsid w:val="00A47178"/>
    <w:rsid w:val="00A477D1"/>
    <w:rsid w:val="00A4791A"/>
    <w:rsid w:val="00A47F59"/>
    <w:rsid w:val="00A50C78"/>
    <w:rsid w:val="00A50D9A"/>
    <w:rsid w:val="00A51317"/>
    <w:rsid w:val="00A52064"/>
    <w:rsid w:val="00A5248F"/>
    <w:rsid w:val="00A527F8"/>
    <w:rsid w:val="00A52E54"/>
    <w:rsid w:val="00A53669"/>
    <w:rsid w:val="00A5491F"/>
    <w:rsid w:val="00A549D0"/>
    <w:rsid w:val="00A55789"/>
    <w:rsid w:val="00A55916"/>
    <w:rsid w:val="00A55AC8"/>
    <w:rsid w:val="00A55F71"/>
    <w:rsid w:val="00A5628E"/>
    <w:rsid w:val="00A56365"/>
    <w:rsid w:val="00A56929"/>
    <w:rsid w:val="00A56BFA"/>
    <w:rsid w:val="00A56FF8"/>
    <w:rsid w:val="00A6047D"/>
    <w:rsid w:val="00A606FE"/>
    <w:rsid w:val="00A60776"/>
    <w:rsid w:val="00A60E4B"/>
    <w:rsid w:val="00A60F76"/>
    <w:rsid w:val="00A61834"/>
    <w:rsid w:val="00A61AE5"/>
    <w:rsid w:val="00A61BEE"/>
    <w:rsid w:val="00A61E81"/>
    <w:rsid w:val="00A622E2"/>
    <w:rsid w:val="00A62398"/>
    <w:rsid w:val="00A6247F"/>
    <w:rsid w:val="00A63142"/>
    <w:rsid w:val="00A639EB"/>
    <w:rsid w:val="00A63AB7"/>
    <w:rsid w:val="00A63C14"/>
    <w:rsid w:val="00A63CEA"/>
    <w:rsid w:val="00A642C2"/>
    <w:rsid w:val="00A65357"/>
    <w:rsid w:val="00A653A6"/>
    <w:rsid w:val="00A65B9E"/>
    <w:rsid w:val="00A6603C"/>
    <w:rsid w:val="00A66239"/>
    <w:rsid w:val="00A67294"/>
    <w:rsid w:val="00A67508"/>
    <w:rsid w:val="00A67655"/>
    <w:rsid w:val="00A67FE5"/>
    <w:rsid w:val="00A70F3E"/>
    <w:rsid w:val="00A71761"/>
    <w:rsid w:val="00A722F3"/>
    <w:rsid w:val="00A73014"/>
    <w:rsid w:val="00A73255"/>
    <w:rsid w:val="00A7375F"/>
    <w:rsid w:val="00A73C3F"/>
    <w:rsid w:val="00A747D2"/>
    <w:rsid w:val="00A74C42"/>
    <w:rsid w:val="00A74D69"/>
    <w:rsid w:val="00A75355"/>
    <w:rsid w:val="00A7586E"/>
    <w:rsid w:val="00A75BCB"/>
    <w:rsid w:val="00A76E10"/>
    <w:rsid w:val="00A76F2B"/>
    <w:rsid w:val="00A77DB9"/>
    <w:rsid w:val="00A80006"/>
    <w:rsid w:val="00A8071E"/>
    <w:rsid w:val="00A80728"/>
    <w:rsid w:val="00A80DAC"/>
    <w:rsid w:val="00A80EE4"/>
    <w:rsid w:val="00A81747"/>
    <w:rsid w:val="00A82096"/>
    <w:rsid w:val="00A823C3"/>
    <w:rsid w:val="00A82448"/>
    <w:rsid w:val="00A831C9"/>
    <w:rsid w:val="00A84605"/>
    <w:rsid w:val="00A84AE2"/>
    <w:rsid w:val="00A853F5"/>
    <w:rsid w:val="00A858CF"/>
    <w:rsid w:val="00A859D5"/>
    <w:rsid w:val="00A85C95"/>
    <w:rsid w:val="00A86084"/>
    <w:rsid w:val="00A864F6"/>
    <w:rsid w:val="00A87424"/>
    <w:rsid w:val="00A9001E"/>
    <w:rsid w:val="00A9111F"/>
    <w:rsid w:val="00A921DC"/>
    <w:rsid w:val="00A92527"/>
    <w:rsid w:val="00A92584"/>
    <w:rsid w:val="00A92643"/>
    <w:rsid w:val="00A92BAD"/>
    <w:rsid w:val="00A92E88"/>
    <w:rsid w:val="00A92EBE"/>
    <w:rsid w:val="00A93159"/>
    <w:rsid w:val="00A9384F"/>
    <w:rsid w:val="00A939C7"/>
    <w:rsid w:val="00A93DC4"/>
    <w:rsid w:val="00A94610"/>
    <w:rsid w:val="00A9470C"/>
    <w:rsid w:val="00A948F2"/>
    <w:rsid w:val="00A95BE3"/>
    <w:rsid w:val="00A95BF4"/>
    <w:rsid w:val="00A970CA"/>
    <w:rsid w:val="00A979AC"/>
    <w:rsid w:val="00A97D74"/>
    <w:rsid w:val="00AA092D"/>
    <w:rsid w:val="00AA0F4D"/>
    <w:rsid w:val="00AA2661"/>
    <w:rsid w:val="00AA2ACC"/>
    <w:rsid w:val="00AA3006"/>
    <w:rsid w:val="00AA3080"/>
    <w:rsid w:val="00AA3C86"/>
    <w:rsid w:val="00AA3E03"/>
    <w:rsid w:val="00AA4143"/>
    <w:rsid w:val="00AA5B90"/>
    <w:rsid w:val="00AA725B"/>
    <w:rsid w:val="00AA77D0"/>
    <w:rsid w:val="00AA7C89"/>
    <w:rsid w:val="00AA7EC6"/>
    <w:rsid w:val="00AB0104"/>
    <w:rsid w:val="00AB0140"/>
    <w:rsid w:val="00AB05C3"/>
    <w:rsid w:val="00AB14E1"/>
    <w:rsid w:val="00AB1B49"/>
    <w:rsid w:val="00AB1C02"/>
    <w:rsid w:val="00AB244D"/>
    <w:rsid w:val="00AB265C"/>
    <w:rsid w:val="00AB2B3C"/>
    <w:rsid w:val="00AB3E4E"/>
    <w:rsid w:val="00AB4530"/>
    <w:rsid w:val="00AB45EE"/>
    <w:rsid w:val="00AB6741"/>
    <w:rsid w:val="00AB6B01"/>
    <w:rsid w:val="00AB6CB4"/>
    <w:rsid w:val="00AB7B22"/>
    <w:rsid w:val="00AC09B9"/>
    <w:rsid w:val="00AC1B17"/>
    <w:rsid w:val="00AC1EE3"/>
    <w:rsid w:val="00AC2086"/>
    <w:rsid w:val="00AC297E"/>
    <w:rsid w:val="00AC338B"/>
    <w:rsid w:val="00AC35D4"/>
    <w:rsid w:val="00AC3F71"/>
    <w:rsid w:val="00AC46F0"/>
    <w:rsid w:val="00AC4948"/>
    <w:rsid w:val="00AC4F70"/>
    <w:rsid w:val="00AC530F"/>
    <w:rsid w:val="00AC57E6"/>
    <w:rsid w:val="00AC6132"/>
    <w:rsid w:val="00AC6D74"/>
    <w:rsid w:val="00AC7479"/>
    <w:rsid w:val="00AC79BD"/>
    <w:rsid w:val="00AC7DBC"/>
    <w:rsid w:val="00AD0890"/>
    <w:rsid w:val="00AD0C66"/>
    <w:rsid w:val="00AD0C87"/>
    <w:rsid w:val="00AD0EA1"/>
    <w:rsid w:val="00AD1085"/>
    <w:rsid w:val="00AD1571"/>
    <w:rsid w:val="00AD17D9"/>
    <w:rsid w:val="00AD1F97"/>
    <w:rsid w:val="00AD1FE1"/>
    <w:rsid w:val="00AD26E2"/>
    <w:rsid w:val="00AD29B1"/>
    <w:rsid w:val="00AD2A2F"/>
    <w:rsid w:val="00AD31FC"/>
    <w:rsid w:val="00AD3994"/>
    <w:rsid w:val="00AD3A2B"/>
    <w:rsid w:val="00AD3D79"/>
    <w:rsid w:val="00AD424B"/>
    <w:rsid w:val="00AD45E7"/>
    <w:rsid w:val="00AD4696"/>
    <w:rsid w:val="00AD47CA"/>
    <w:rsid w:val="00AD4891"/>
    <w:rsid w:val="00AD49C4"/>
    <w:rsid w:val="00AD5701"/>
    <w:rsid w:val="00AD5875"/>
    <w:rsid w:val="00AD5890"/>
    <w:rsid w:val="00AD5EA4"/>
    <w:rsid w:val="00AD5F64"/>
    <w:rsid w:val="00AD5FAB"/>
    <w:rsid w:val="00AE0F88"/>
    <w:rsid w:val="00AE13C1"/>
    <w:rsid w:val="00AE1AB0"/>
    <w:rsid w:val="00AE1C1A"/>
    <w:rsid w:val="00AE1F2D"/>
    <w:rsid w:val="00AE2A3F"/>
    <w:rsid w:val="00AE2DB7"/>
    <w:rsid w:val="00AE2FED"/>
    <w:rsid w:val="00AE395C"/>
    <w:rsid w:val="00AE458C"/>
    <w:rsid w:val="00AE473C"/>
    <w:rsid w:val="00AE4EB5"/>
    <w:rsid w:val="00AE526F"/>
    <w:rsid w:val="00AE54E1"/>
    <w:rsid w:val="00AE63E5"/>
    <w:rsid w:val="00AE652C"/>
    <w:rsid w:val="00AE7CD2"/>
    <w:rsid w:val="00AF1FEB"/>
    <w:rsid w:val="00AF25E0"/>
    <w:rsid w:val="00AF2E64"/>
    <w:rsid w:val="00AF31BF"/>
    <w:rsid w:val="00AF367C"/>
    <w:rsid w:val="00AF4DAB"/>
    <w:rsid w:val="00AF5292"/>
    <w:rsid w:val="00AF5D99"/>
    <w:rsid w:val="00AF6BEC"/>
    <w:rsid w:val="00AF7ABB"/>
    <w:rsid w:val="00AF7C4C"/>
    <w:rsid w:val="00AF7CF9"/>
    <w:rsid w:val="00AF7DE2"/>
    <w:rsid w:val="00B00F2C"/>
    <w:rsid w:val="00B00FF0"/>
    <w:rsid w:val="00B011B2"/>
    <w:rsid w:val="00B0121A"/>
    <w:rsid w:val="00B013C3"/>
    <w:rsid w:val="00B02741"/>
    <w:rsid w:val="00B03765"/>
    <w:rsid w:val="00B0399C"/>
    <w:rsid w:val="00B041E0"/>
    <w:rsid w:val="00B045A3"/>
    <w:rsid w:val="00B0464D"/>
    <w:rsid w:val="00B049A7"/>
    <w:rsid w:val="00B054B7"/>
    <w:rsid w:val="00B055D8"/>
    <w:rsid w:val="00B0584F"/>
    <w:rsid w:val="00B05B56"/>
    <w:rsid w:val="00B07414"/>
    <w:rsid w:val="00B07424"/>
    <w:rsid w:val="00B07614"/>
    <w:rsid w:val="00B079CD"/>
    <w:rsid w:val="00B07BE5"/>
    <w:rsid w:val="00B1081A"/>
    <w:rsid w:val="00B11381"/>
    <w:rsid w:val="00B11D62"/>
    <w:rsid w:val="00B12059"/>
    <w:rsid w:val="00B12B3A"/>
    <w:rsid w:val="00B12CF7"/>
    <w:rsid w:val="00B12D37"/>
    <w:rsid w:val="00B131B9"/>
    <w:rsid w:val="00B13402"/>
    <w:rsid w:val="00B135CB"/>
    <w:rsid w:val="00B136B4"/>
    <w:rsid w:val="00B13B7C"/>
    <w:rsid w:val="00B13BF1"/>
    <w:rsid w:val="00B14046"/>
    <w:rsid w:val="00B15AF1"/>
    <w:rsid w:val="00B15C5F"/>
    <w:rsid w:val="00B15D42"/>
    <w:rsid w:val="00B15E7F"/>
    <w:rsid w:val="00B15ED0"/>
    <w:rsid w:val="00B1616B"/>
    <w:rsid w:val="00B1622D"/>
    <w:rsid w:val="00B16775"/>
    <w:rsid w:val="00B16F64"/>
    <w:rsid w:val="00B174EB"/>
    <w:rsid w:val="00B1765B"/>
    <w:rsid w:val="00B17BC9"/>
    <w:rsid w:val="00B17E82"/>
    <w:rsid w:val="00B200FC"/>
    <w:rsid w:val="00B20BA1"/>
    <w:rsid w:val="00B21A44"/>
    <w:rsid w:val="00B22CE9"/>
    <w:rsid w:val="00B22FC8"/>
    <w:rsid w:val="00B23055"/>
    <w:rsid w:val="00B233E2"/>
    <w:rsid w:val="00B23890"/>
    <w:rsid w:val="00B23A39"/>
    <w:rsid w:val="00B23BF0"/>
    <w:rsid w:val="00B23CCE"/>
    <w:rsid w:val="00B23D30"/>
    <w:rsid w:val="00B2423F"/>
    <w:rsid w:val="00B244E2"/>
    <w:rsid w:val="00B2451B"/>
    <w:rsid w:val="00B2477C"/>
    <w:rsid w:val="00B24DA4"/>
    <w:rsid w:val="00B25943"/>
    <w:rsid w:val="00B25A54"/>
    <w:rsid w:val="00B25A9B"/>
    <w:rsid w:val="00B25D72"/>
    <w:rsid w:val="00B26578"/>
    <w:rsid w:val="00B26847"/>
    <w:rsid w:val="00B2685F"/>
    <w:rsid w:val="00B2716E"/>
    <w:rsid w:val="00B2728F"/>
    <w:rsid w:val="00B31FE9"/>
    <w:rsid w:val="00B32199"/>
    <w:rsid w:val="00B321FC"/>
    <w:rsid w:val="00B32617"/>
    <w:rsid w:val="00B326DB"/>
    <w:rsid w:val="00B328DA"/>
    <w:rsid w:val="00B32CF2"/>
    <w:rsid w:val="00B32CFF"/>
    <w:rsid w:val="00B32E53"/>
    <w:rsid w:val="00B34B4A"/>
    <w:rsid w:val="00B3545A"/>
    <w:rsid w:val="00B357DB"/>
    <w:rsid w:val="00B35AFF"/>
    <w:rsid w:val="00B35D6E"/>
    <w:rsid w:val="00B364F5"/>
    <w:rsid w:val="00B36610"/>
    <w:rsid w:val="00B3669A"/>
    <w:rsid w:val="00B400FF"/>
    <w:rsid w:val="00B406A6"/>
    <w:rsid w:val="00B40A09"/>
    <w:rsid w:val="00B41BB5"/>
    <w:rsid w:val="00B41CBC"/>
    <w:rsid w:val="00B4265F"/>
    <w:rsid w:val="00B42B0A"/>
    <w:rsid w:val="00B43072"/>
    <w:rsid w:val="00B44B83"/>
    <w:rsid w:val="00B45BEE"/>
    <w:rsid w:val="00B45F83"/>
    <w:rsid w:val="00B46973"/>
    <w:rsid w:val="00B475A8"/>
    <w:rsid w:val="00B477FB"/>
    <w:rsid w:val="00B47943"/>
    <w:rsid w:val="00B47DDD"/>
    <w:rsid w:val="00B5026B"/>
    <w:rsid w:val="00B505CA"/>
    <w:rsid w:val="00B50741"/>
    <w:rsid w:val="00B50A47"/>
    <w:rsid w:val="00B50D6B"/>
    <w:rsid w:val="00B514A8"/>
    <w:rsid w:val="00B5270A"/>
    <w:rsid w:val="00B52F67"/>
    <w:rsid w:val="00B533A7"/>
    <w:rsid w:val="00B53F32"/>
    <w:rsid w:val="00B5413E"/>
    <w:rsid w:val="00B54652"/>
    <w:rsid w:val="00B54A52"/>
    <w:rsid w:val="00B54B63"/>
    <w:rsid w:val="00B54CB4"/>
    <w:rsid w:val="00B55049"/>
    <w:rsid w:val="00B5571A"/>
    <w:rsid w:val="00B56125"/>
    <w:rsid w:val="00B56A3D"/>
    <w:rsid w:val="00B56AC0"/>
    <w:rsid w:val="00B57D53"/>
    <w:rsid w:val="00B57D8D"/>
    <w:rsid w:val="00B61473"/>
    <w:rsid w:val="00B61F30"/>
    <w:rsid w:val="00B626EE"/>
    <w:rsid w:val="00B62B26"/>
    <w:rsid w:val="00B62DA8"/>
    <w:rsid w:val="00B63425"/>
    <w:rsid w:val="00B64AE4"/>
    <w:rsid w:val="00B662EE"/>
    <w:rsid w:val="00B6677A"/>
    <w:rsid w:val="00B66926"/>
    <w:rsid w:val="00B70456"/>
    <w:rsid w:val="00B70957"/>
    <w:rsid w:val="00B7141E"/>
    <w:rsid w:val="00B716F7"/>
    <w:rsid w:val="00B71FCE"/>
    <w:rsid w:val="00B7294D"/>
    <w:rsid w:val="00B72C8D"/>
    <w:rsid w:val="00B72CDF"/>
    <w:rsid w:val="00B72FA3"/>
    <w:rsid w:val="00B7301C"/>
    <w:rsid w:val="00B735DC"/>
    <w:rsid w:val="00B73A50"/>
    <w:rsid w:val="00B73C51"/>
    <w:rsid w:val="00B740F8"/>
    <w:rsid w:val="00B743FC"/>
    <w:rsid w:val="00B74612"/>
    <w:rsid w:val="00B74EEA"/>
    <w:rsid w:val="00B75264"/>
    <w:rsid w:val="00B752CC"/>
    <w:rsid w:val="00B75C78"/>
    <w:rsid w:val="00B76671"/>
    <w:rsid w:val="00B77037"/>
    <w:rsid w:val="00B772E5"/>
    <w:rsid w:val="00B774C9"/>
    <w:rsid w:val="00B80428"/>
    <w:rsid w:val="00B80827"/>
    <w:rsid w:val="00B80A53"/>
    <w:rsid w:val="00B80FC2"/>
    <w:rsid w:val="00B8150A"/>
    <w:rsid w:val="00B82322"/>
    <w:rsid w:val="00B82411"/>
    <w:rsid w:val="00B8337C"/>
    <w:rsid w:val="00B83A32"/>
    <w:rsid w:val="00B84054"/>
    <w:rsid w:val="00B8467E"/>
    <w:rsid w:val="00B84C4E"/>
    <w:rsid w:val="00B854A3"/>
    <w:rsid w:val="00B854EE"/>
    <w:rsid w:val="00B85819"/>
    <w:rsid w:val="00B85DB9"/>
    <w:rsid w:val="00B86D15"/>
    <w:rsid w:val="00B86FE8"/>
    <w:rsid w:val="00B87512"/>
    <w:rsid w:val="00B87889"/>
    <w:rsid w:val="00B8792F"/>
    <w:rsid w:val="00B9009A"/>
    <w:rsid w:val="00B90170"/>
    <w:rsid w:val="00B904CF"/>
    <w:rsid w:val="00B90591"/>
    <w:rsid w:val="00B912D6"/>
    <w:rsid w:val="00B922D2"/>
    <w:rsid w:val="00B932DB"/>
    <w:rsid w:val="00B937AE"/>
    <w:rsid w:val="00B93CF3"/>
    <w:rsid w:val="00B94FD3"/>
    <w:rsid w:val="00B950D3"/>
    <w:rsid w:val="00B96567"/>
    <w:rsid w:val="00B96D85"/>
    <w:rsid w:val="00B97EC1"/>
    <w:rsid w:val="00BA0509"/>
    <w:rsid w:val="00BA0BF0"/>
    <w:rsid w:val="00BA1165"/>
    <w:rsid w:val="00BA1858"/>
    <w:rsid w:val="00BA2B80"/>
    <w:rsid w:val="00BA2D59"/>
    <w:rsid w:val="00BA2FFA"/>
    <w:rsid w:val="00BA4989"/>
    <w:rsid w:val="00BA4F20"/>
    <w:rsid w:val="00BA502F"/>
    <w:rsid w:val="00BA592B"/>
    <w:rsid w:val="00BA5DB3"/>
    <w:rsid w:val="00BA61FE"/>
    <w:rsid w:val="00BA6283"/>
    <w:rsid w:val="00BA65DF"/>
    <w:rsid w:val="00BA6B92"/>
    <w:rsid w:val="00BA6F1C"/>
    <w:rsid w:val="00BA70C4"/>
    <w:rsid w:val="00BA73D3"/>
    <w:rsid w:val="00BA796E"/>
    <w:rsid w:val="00BA7C9A"/>
    <w:rsid w:val="00BB050B"/>
    <w:rsid w:val="00BB056F"/>
    <w:rsid w:val="00BB05BF"/>
    <w:rsid w:val="00BB05E7"/>
    <w:rsid w:val="00BB0B87"/>
    <w:rsid w:val="00BB1D99"/>
    <w:rsid w:val="00BB1F0C"/>
    <w:rsid w:val="00BB2264"/>
    <w:rsid w:val="00BB2445"/>
    <w:rsid w:val="00BB38D3"/>
    <w:rsid w:val="00BB3A50"/>
    <w:rsid w:val="00BB3AD9"/>
    <w:rsid w:val="00BB3E09"/>
    <w:rsid w:val="00BB4306"/>
    <w:rsid w:val="00BB50B1"/>
    <w:rsid w:val="00BB5A30"/>
    <w:rsid w:val="00BB64AF"/>
    <w:rsid w:val="00BB684C"/>
    <w:rsid w:val="00BB77A8"/>
    <w:rsid w:val="00BC0342"/>
    <w:rsid w:val="00BC099D"/>
    <w:rsid w:val="00BC0BA0"/>
    <w:rsid w:val="00BC1B85"/>
    <w:rsid w:val="00BC2235"/>
    <w:rsid w:val="00BC2CB2"/>
    <w:rsid w:val="00BC3161"/>
    <w:rsid w:val="00BC3184"/>
    <w:rsid w:val="00BC3EE1"/>
    <w:rsid w:val="00BC4076"/>
    <w:rsid w:val="00BC49DD"/>
    <w:rsid w:val="00BC568A"/>
    <w:rsid w:val="00BC57E8"/>
    <w:rsid w:val="00BC5AE8"/>
    <w:rsid w:val="00BC5D5B"/>
    <w:rsid w:val="00BC5E67"/>
    <w:rsid w:val="00BC6155"/>
    <w:rsid w:val="00BC64FA"/>
    <w:rsid w:val="00BC6E93"/>
    <w:rsid w:val="00BC71AB"/>
    <w:rsid w:val="00BD07A7"/>
    <w:rsid w:val="00BD08FA"/>
    <w:rsid w:val="00BD2168"/>
    <w:rsid w:val="00BD3631"/>
    <w:rsid w:val="00BD3738"/>
    <w:rsid w:val="00BD38AF"/>
    <w:rsid w:val="00BD3F99"/>
    <w:rsid w:val="00BD4215"/>
    <w:rsid w:val="00BD4421"/>
    <w:rsid w:val="00BD54A1"/>
    <w:rsid w:val="00BD63FB"/>
    <w:rsid w:val="00BD6412"/>
    <w:rsid w:val="00BD697B"/>
    <w:rsid w:val="00BD6CA8"/>
    <w:rsid w:val="00BD7232"/>
    <w:rsid w:val="00BD7EC8"/>
    <w:rsid w:val="00BE0323"/>
    <w:rsid w:val="00BE1193"/>
    <w:rsid w:val="00BE199A"/>
    <w:rsid w:val="00BE1DFF"/>
    <w:rsid w:val="00BE20DD"/>
    <w:rsid w:val="00BE264D"/>
    <w:rsid w:val="00BE26A3"/>
    <w:rsid w:val="00BE2ACA"/>
    <w:rsid w:val="00BE2FB7"/>
    <w:rsid w:val="00BE3369"/>
    <w:rsid w:val="00BE340C"/>
    <w:rsid w:val="00BE37C5"/>
    <w:rsid w:val="00BE471F"/>
    <w:rsid w:val="00BE4A84"/>
    <w:rsid w:val="00BE5318"/>
    <w:rsid w:val="00BE5545"/>
    <w:rsid w:val="00BE55A3"/>
    <w:rsid w:val="00BE5CBA"/>
    <w:rsid w:val="00BE5D40"/>
    <w:rsid w:val="00BE5D58"/>
    <w:rsid w:val="00BE5EC7"/>
    <w:rsid w:val="00BE615D"/>
    <w:rsid w:val="00BE61CF"/>
    <w:rsid w:val="00BE641A"/>
    <w:rsid w:val="00BE6AF2"/>
    <w:rsid w:val="00BE6E14"/>
    <w:rsid w:val="00BE72AE"/>
    <w:rsid w:val="00BE7422"/>
    <w:rsid w:val="00BE78E3"/>
    <w:rsid w:val="00BE7C69"/>
    <w:rsid w:val="00BE7CD9"/>
    <w:rsid w:val="00BF0166"/>
    <w:rsid w:val="00BF085F"/>
    <w:rsid w:val="00BF0C83"/>
    <w:rsid w:val="00BF1378"/>
    <w:rsid w:val="00BF160D"/>
    <w:rsid w:val="00BF199E"/>
    <w:rsid w:val="00BF1AE2"/>
    <w:rsid w:val="00BF1DD1"/>
    <w:rsid w:val="00BF2263"/>
    <w:rsid w:val="00BF2562"/>
    <w:rsid w:val="00BF26C0"/>
    <w:rsid w:val="00BF2C84"/>
    <w:rsid w:val="00BF34F0"/>
    <w:rsid w:val="00BF383F"/>
    <w:rsid w:val="00BF38C4"/>
    <w:rsid w:val="00BF3961"/>
    <w:rsid w:val="00BF472F"/>
    <w:rsid w:val="00BF5131"/>
    <w:rsid w:val="00BF51F6"/>
    <w:rsid w:val="00BF5548"/>
    <w:rsid w:val="00BF6BB4"/>
    <w:rsid w:val="00C004A5"/>
    <w:rsid w:val="00C00D22"/>
    <w:rsid w:val="00C010F2"/>
    <w:rsid w:val="00C011B1"/>
    <w:rsid w:val="00C017D9"/>
    <w:rsid w:val="00C01867"/>
    <w:rsid w:val="00C020BC"/>
    <w:rsid w:val="00C026F2"/>
    <w:rsid w:val="00C0307E"/>
    <w:rsid w:val="00C03AC5"/>
    <w:rsid w:val="00C03D10"/>
    <w:rsid w:val="00C03E7D"/>
    <w:rsid w:val="00C03EC8"/>
    <w:rsid w:val="00C054E6"/>
    <w:rsid w:val="00C058F3"/>
    <w:rsid w:val="00C05DC5"/>
    <w:rsid w:val="00C05E3B"/>
    <w:rsid w:val="00C05FF3"/>
    <w:rsid w:val="00C065B1"/>
    <w:rsid w:val="00C07962"/>
    <w:rsid w:val="00C07BFC"/>
    <w:rsid w:val="00C10224"/>
    <w:rsid w:val="00C10BF4"/>
    <w:rsid w:val="00C11008"/>
    <w:rsid w:val="00C11176"/>
    <w:rsid w:val="00C1162A"/>
    <w:rsid w:val="00C11C10"/>
    <w:rsid w:val="00C12239"/>
    <w:rsid w:val="00C12599"/>
    <w:rsid w:val="00C12D65"/>
    <w:rsid w:val="00C12EAB"/>
    <w:rsid w:val="00C1370C"/>
    <w:rsid w:val="00C140A3"/>
    <w:rsid w:val="00C1483E"/>
    <w:rsid w:val="00C1486E"/>
    <w:rsid w:val="00C14E1B"/>
    <w:rsid w:val="00C15A0D"/>
    <w:rsid w:val="00C167A8"/>
    <w:rsid w:val="00C176CC"/>
    <w:rsid w:val="00C200DE"/>
    <w:rsid w:val="00C205E1"/>
    <w:rsid w:val="00C20A0E"/>
    <w:rsid w:val="00C2132A"/>
    <w:rsid w:val="00C2161A"/>
    <w:rsid w:val="00C21DF7"/>
    <w:rsid w:val="00C21FA5"/>
    <w:rsid w:val="00C220AE"/>
    <w:rsid w:val="00C223BA"/>
    <w:rsid w:val="00C22EED"/>
    <w:rsid w:val="00C231D3"/>
    <w:rsid w:val="00C2382B"/>
    <w:rsid w:val="00C23900"/>
    <w:rsid w:val="00C23D9E"/>
    <w:rsid w:val="00C24560"/>
    <w:rsid w:val="00C25154"/>
    <w:rsid w:val="00C251F3"/>
    <w:rsid w:val="00C25ABE"/>
    <w:rsid w:val="00C262A2"/>
    <w:rsid w:val="00C26463"/>
    <w:rsid w:val="00C26A97"/>
    <w:rsid w:val="00C26B38"/>
    <w:rsid w:val="00C26D67"/>
    <w:rsid w:val="00C2714B"/>
    <w:rsid w:val="00C271BB"/>
    <w:rsid w:val="00C27E9F"/>
    <w:rsid w:val="00C302B9"/>
    <w:rsid w:val="00C30B2A"/>
    <w:rsid w:val="00C31604"/>
    <w:rsid w:val="00C32112"/>
    <w:rsid w:val="00C32B59"/>
    <w:rsid w:val="00C32E5B"/>
    <w:rsid w:val="00C33A75"/>
    <w:rsid w:val="00C33A99"/>
    <w:rsid w:val="00C33F1E"/>
    <w:rsid w:val="00C34272"/>
    <w:rsid w:val="00C34E6B"/>
    <w:rsid w:val="00C35550"/>
    <w:rsid w:val="00C3577B"/>
    <w:rsid w:val="00C3688F"/>
    <w:rsid w:val="00C37112"/>
    <w:rsid w:val="00C37D8A"/>
    <w:rsid w:val="00C40719"/>
    <w:rsid w:val="00C40A63"/>
    <w:rsid w:val="00C40E70"/>
    <w:rsid w:val="00C41EC9"/>
    <w:rsid w:val="00C42432"/>
    <w:rsid w:val="00C426FE"/>
    <w:rsid w:val="00C43CCE"/>
    <w:rsid w:val="00C44041"/>
    <w:rsid w:val="00C44142"/>
    <w:rsid w:val="00C443F5"/>
    <w:rsid w:val="00C44D61"/>
    <w:rsid w:val="00C44E89"/>
    <w:rsid w:val="00C451D2"/>
    <w:rsid w:val="00C4580C"/>
    <w:rsid w:val="00C459EE"/>
    <w:rsid w:val="00C45A22"/>
    <w:rsid w:val="00C46B0C"/>
    <w:rsid w:val="00C46B59"/>
    <w:rsid w:val="00C46C14"/>
    <w:rsid w:val="00C46D4D"/>
    <w:rsid w:val="00C46DED"/>
    <w:rsid w:val="00C47054"/>
    <w:rsid w:val="00C4764F"/>
    <w:rsid w:val="00C479A3"/>
    <w:rsid w:val="00C47CBE"/>
    <w:rsid w:val="00C47DE7"/>
    <w:rsid w:val="00C50E1A"/>
    <w:rsid w:val="00C51190"/>
    <w:rsid w:val="00C51201"/>
    <w:rsid w:val="00C51CC1"/>
    <w:rsid w:val="00C520CA"/>
    <w:rsid w:val="00C544BC"/>
    <w:rsid w:val="00C54B0C"/>
    <w:rsid w:val="00C54DCD"/>
    <w:rsid w:val="00C5558D"/>
    <w:rsid w:val="00C55EBB"/>
    <w:rsid w:val="00C5611B"/>
    <w:rsid w:val="00C5690E"/>
    <w:rsid w:val="00C56B5B"/>
    <w:rsid w:val="00C60388"/>
    <w:rsid w:val="00C606A2"/>
    <w:rsid w:val="00C606AD"/>
    <w:rsid w:val="00C6089D"/>
    <w:rsid w:val="00C61180"/>
    <w:rsid w:val="00C61657"/>
    <w:rsid w:val="00C61DFC"/>
    <w:rsid w:val="00C62283"/>
    <w:rsid w:val="00C62369"/>
    <w:rsid w:val="00C62AC8"/>
    <w:rsid w:val="00C6399D"/>
    <w:rsid w:val="00C63E18"/>
    <w:rsid w:val="00C647DF"/>
    <w:rsid w:val="00C64AF3"/>
    <w:rsid w:val="00C64C44"/>
    <w:rsid w:val="00C65317"/>
    <w:rsid w:val="00C6562E"/>
    <w:rsid w:val="00C65E24"/>
    <w:rsid w:val="00C6623E"/>
    <w:rsid w:val="00C66E7E"/>
    <w:rsid w:val="00C6776D"/>
    <w:rsid w:val="00C67C66"/>
    <w:rsid w:val="00C70103"/>
    <w:rsid w:val="00C7026C"/>
    <w:rsid w:val="00C702CA"/>
    <w:rsid w:val="00C70304"/>
    <w:rsid w:val="00C706D6"/>
    <w:rsid w:val="00C707C1"/>
    <w:rsid w:val="00C72092"/>
    <w:rsid w:val="00C72213"/>
    <w:rsid w:val="00C72437"/>
    <w:rsid w:val="00C72BE5"/>
    <w:rsid w:val="00C72DB3"/>
    <w:rsid w:val="00C73078"/>
    <w:rsid w:val="00C730DC"/>
    <w:rsid w:val="00C73A21"/>
    <w:rsid w:val="00C73C99"/>
    <w:rsid w:val="00C74888"/>
    <w:rsid w:val="00C74DE5"/>
    <w:rsid w:val="00C752D4"/>
    <w:rsid w:val="00C754A8"/>
    <w:rsid w:val="00C75585"/>
    <w:rsid w:val="00C7560F"/>
    <w:rsid w:val="00C75745"/>
    <w:rsid w:val="00C75871"/>
    <w:rsid w:val="00C759F2"/>
    <w:rsid w:val="00C760B2"/>
    <w:rsid w:val="00C7670A"/>
    <w:rsid w:val="00C77515"/>
    <w:rsid w:val="00C7766A"/>
    <w:rsid w:val="00C77B0A"/>
    <w:rsid w:val="00C800C8"/>
    <w:rsid w:val="00C8093C"/>
    <w:rsid w:val="00C80CFC"/>
    <w:rsid w:val="00C810FF"/>
    <w:rsid w:val="00C811EB"/>
    <w:rsid w:val="00C81B77"/>
    <w:rsid w:val="00C82193"/>
    <w:rsid w:val="00C823DE"/>
    <w:rsid w:val="00C82DB7"/>
    <w:rsid w:val="00C83479"/>
    <w:rsid w:val="00C83A24"/>
    <w:rsid w:val="00C842C0"/>
    <w:rsid w:val="00C84402"/>
    <w:rsid w:val="00C8458C"/>
    <w:rsid w:val="00C84BA7"/>
    <w:rsid w:val="00C84CBC"/>
    <w:rsid w:val="00C84D32"/>
    <w:rsid w:val="00C84E85"/>
    <w:rsid w:val="00C84FA1"/>
    <w:rsid w:val="00C85338"/>
    <w:rsid w:val="00C853BC"/>
    <w:rsid w:val="00C8593F"/>
    <w:rsid w:val="00C85CB8"/>
    <w:rsid w:val="00C86175"/>
    <w:rsid w:val="00C8659D"/>
    <w:rsid w:val="00C865D5"/>
    <w:rsid w:val="00C86652"/>
    <w:rsid w:val="00C86F4B"/>
    <w:rsid w:val="00C87349"/>
    <w:rsid w:val="00C873E9"/>
    <w:rsid w:val="00C87448"/>
    <w:rsid w:val="00C90476"/>
    <w:rsid w:val="00C90741"/>
    <w:rsid w:val="00C90885"/>
    <w:rsid w:val="00C90EF0"/>
    <w:rsid w:val="00C90FA4"/>
    <w:rsid w:val="00C91220"/>
    <w:rsid w:val="00C912BC"/>
    <w:rsid w:val="00C91329"/>
    <w:rsid w:val="00C91C10"/>
    <w:rsid w:val="00C9251E"/>
    <w:rsid w:val="00C92949"/>
    <w:rsid w:val="00C92FA8"/>
    <w:rsid w:val="00C931C6"/>
    <w:rsid w:val="00C938D9"/>
    <w:rsid w:val="00C93B02"/>
    <w:rsid w:val="00C946F2"/>
    <w:rsid w:val="00C949F1"/>
    <w:rsid w:val="00C94CB2"/>
    <w:rsid w:val="00C94E6F"/>
    <w:rsid w:val="00C953A5"/>
    <w:rsid w:val="00C96973"/>
    <w:rsid w:val="00C9772E"/>
    <w:rsid w:val="00C9778C"/>
    <w:rsid w:val="00CA0AB5"/>
    <w:rsid w:val="00CA0EB4"/>
    <w:rsid w:val="00CA1167"/>
    <w:rsid w:val="00CA11F4"/>
    <w:rsid w:val="00CA144D"/>
    <w:rsid w:val="00CA1B24"/>
    <w:rsid w:val="00CA1DB8"/>
    <w:rsid w:val="00CA3002"/>
    <w:rsid w:val="00CA5229"/>
    <w:rsid w:val="00CA5277"/>
    <w:rsid w:val="00CA5667"/>
    <w:rsid w:val="00CA63B0"/>
    <w:rsid w:val="00CA72E8"/>
    <w:rsid w:val="00CB0C61"/>
    <w:rsid w:val="00CB10A0"/>
    <w:rsid w:val="00CB2539"/>
    <w:rsid w:val="00CB2762"/>
    <w:rsid w:val="00CB33EB"/>
    <w:rsid w:val="00CB3820"/>
    <w:rsid w:val="00CB3AF6"/>
    <w:rsid w:val="00CB5147"/>
    <w:rsid w:val="00CB529E"/>
    <w:rsid w:val="00CB58FE"/>
    <w:rsid w:val="00CB655C"/>
    <w:rsid w:val="00CB658B"/>
    <w:rsid w:val="00CB7C3E"/>
    <w:rsid w:val="00CB7C62"/>
    <w:rsid w:val="00CB7C9E"/>
    <w:rsid w:val="00CB7EAC"/>
    <w:rsid w:val="00CC01A6"/>
    <w:rsid w:val="00CC08E2"/>
    <w:rsid w:val="00CC14D1"/>
    <w:rsid w:val="00CC1F3D"/>
    <w:rsid w:val="00CC2605"/>
    <w:rsid w:val="00CC2622"/>
    <w:rsid w:val="00CC2F31"/>
    <w:rsid w:val="00CC302B"/>
    <w:rsid w:val="00CC38B6"/>
    <w:rsid w:val="00CC3F57"/>
    <w:rsid w:val="00CC4648"/>
    <w:rsid w:val="00CC4657"/>
    <w:rsid w:val="00CC48DA"/>
    <w:rsid w:val="00CC4EAF"/>
    <w:rsid w:val="00CC625E"/>
    <w:rsid w:val="00CC665F"/>
    <w:rsid w:val="00CC6939"/>
    <w:rsid w:val="00CC6C7B"/>
    <w:rsid w:val="00CC736C"/>
    <w:rsid w:val="00CC7E7A"/>
    <w:rsid w:val="00CD0087"/>
    <w:rsid w:val="00CD06BE"/>
    <w:rsid w:val="00CD296D"/>
    <w:rsid w:val="00CD2A8D"/>
    <w:rsid w:val="00CD2D1D"/>
    <w:rsid w:val="00CD2E4B"/>
    <w:rsid w:val="00CD2FB1"/>
    <w:rsid w:val="00CD3333"/>
    <w:rsid w:val="00CD376F"/>
    <w:rsid w:val="00CD3A3F"/>
    <w:rsid w:val="00CD3B76"/>
    <w:rsid w:val="00CD4855"/>
    <w:rsid w:val="00CD4D4A"/>
    <w:rsid w:val="00CD4F77"/>
    <w:rsid w:val="00CD4FD2"/>
    <w:rsid w:val="00CD51DC"/>
    <w:rsid w:val="00CD54D1"/>
    <w:rsid w:val="00CD6501"/>
    <w:rsid w:val="00CD6F31"/>
    <w:rsid w:val="00CD7185"/>
    <w:rsid w:val="00CD7A34"/>
    <w:rsid w:val="00CD7B5B"/>
    <w:rsid w:val="00CD7FFB"/>
    <w:rsid w:val="00CE0742"/>
    <w:rsid w:val="00CE08F6"/>
    <w:rsid w:val="00CE0F25"/>
    <w:rsid w:val="00CE1471"/>
    <w:rsid w:val="00CE1B37"/>
    <w:rsid w:val="00CE2286"/>
    <w:rsid w:val="00CE233D"/>
    <w:rsid w:val="00CE2EB1"/>
    <w:rsid w:val="00CE4635"/>
    <w:rsid w:val="00CE4E50"/>
    <w:rsid w:val="00CE56A5"/>
    <w:rsid w:val="00CE5906"/>
    <w:rsid w:val="00CE5970"/>
    <w:rsid w:val="00CE6865"/>
    <w:rsid w:val="00CE79DB"/>
    <w:rsid w:val="00CF0891"/>
    <w:rsid w:val="00CF0AA0"/>
    <w:rsid w:val="00CF0C11"/>
    <w:rsid w:val="00CF13DB"/>
    <w:rsid w:val="00CF140E"/>
    <w:rsid w:val="00CF17BE"/>
    <w:rsid w:val="00CF1BD5"/>
    <w:rsid w:val="00CF1F5F"/>
    <w:rsid w:val="00CF2317"/>
    <w:rsid w:val="00CF2437"/>
    <w:rsid w:val="00CF2D18"/>
    <w:rsid w:val="00CF3CF1"/>
    <w:rsid w:val="00CF4B94"/>
    <w:rsid w:val="00CF50CB"/>
    <w:rsid w:val="00CF517D"/>
    <w:rsid w:val="00CF6CB3"/>
    <w:rsid w:val="00CF6DF2"/>
    <w:rsid w:val="00CF7516"/>
    <w:rsid w:val="00D012CC"/>
    <w:rsid w:val="00D032AB"/>
    <w:rsid w:val="00D03A8C"/>
    <w:rsid w:val="00D049E4"/>
    <w:rsid w:val="00D051CD"/>
    <w:rsid w:val="00D056AB"/>
    <w:rsid w:val="00D058F5"/>
    <w:rsid w:val="00D0591F"/>
    <w:rsid w:val="00D05EE3"/>
    <w:rsid w:val="00D078F0"/>
    <w:rsid w:val="00D10726"/>
    <w:rsid w:val="00D11CE2"/>
    <w:rsid w:val="00D11FB7"/>
    <w:rsid w:val="00D12630"/>
    <w:rsid w:val="00D12B98"/>
    <w:rsid w:val="00D12E3C"/>
    <w:rsid w:val="00D12F41"/>
    <w:rsid w:val="00D13084"/>
    <w:rsid w:val="00D14340"/>
    <w:rsid w:val="00D1435A"/>
    <w:rsid w:val="00D14A3F"/>
    <w:rsid w:val="00D14C5A"/>
    <w:rsid w:val="00D14E7A"/>
    <w:rsid w:val="00D15334"/>
    <w:rsid w:val="00D15E2B"/>
    <w:rsid w:val="00D173E6"/>
    <w:rsid w:val="00D179E6"/>
    <w:rsid w:val="00D20499"/>
    <w:rsid w:val="00D205BF"/>
    <w:rsid w:val="00D21294"/>
    <w:rsid w:val="00D228A9"/>
    <w:rsid w:val="00D23515"/>
    <w:rsid w:val="00D23C0A"/>
    <w:rsid w:val="00D24C53"/>
    <w:rsid w:val="00D2563E"/>
    <w:rsid w:val="00D25B2E"/>
    <w:rsid w:val="00D262F4"/>
    <w:rsid w:val="00D26EFC"/>
    <w:rsid w:val="00D26F05"/>
    <w:rsid w:val="00D27091"/>
    <w:rsid w:val="00D2743E"/>
    <w:rsid w:val="00D277BF"/>
    <w:rsid w:val="00D279EC"/>
    <w:rsid w:val="00D27BF8"/>
    <w:rsid w:val="00D30695"/>
    <w:rsid w:val="00D30A0A"/>
    <w:rsid w:val="00D30E7B"/>
    <w:rsid w:val="00D30F8C"/>
    <w:rsid w:val="00D30F97"/>
    <w:rsid w:val="00D3115C"/>
    <w:rsid w:val="00D31168"/>
    <w:rsid w:val="00D317A1"/>
    <w:rsid w:val="00D31940"/>
    <w:rsid w:val="00D31CBA"/>
    <w:rsid w:val="00D31D35"/>
    <w:rsid w:val="00D31EDC"/>
    <w:rsid w:val="00D32067"/>
    <w:rsid w:val="00D341B1"/>
    <w:rsid w:val="00D34DA0"/>
    <w:rsid w:val="00D34F81"/>
    <w:rsid w:val="00D35353"/>
    <w:rsid w:val="00D354C5"/>
    <w:rsid w:val="00D356A5"/>
    <w:rsid w:val="00D35FC8"/>
    <w:rsid w:val="00D363CB"/>
    <w:rsid w:val="00D36845"/>
    <w:rsid w:val="00D3789B"/>
    <w:rsid w:val="00D37CFA"/>
    <w:rsid w:val="00D40385"/>
    <w:rsid w:val="00D40BC0"/>
    <w:rsid w:val="00D40EFA"/>
    <w:rsid w:val="00D4128F"/>
    <w:rsid w:val="00D41B8C"/>
    <w:rsid w:val="00D42D6E"/>
    <w:rsid w:val="00D42EC2"/>
    <w:rsid w:val="00D43001"/>
    <w:rsid w:val="00D43917"/>
    <w:rsid w:val="00D43D0F"/>
    <w:rsid w:val="00D43E5F"/>
    <w:rsid w:val="00D44102"/>
    <w:rsid w:val="00D4488C"/>
    <w:rsid w:val="00D451A4"/>
    <w:rsid w:val="00D45CF5"/>
    <w:rsid w:val="00D461D4"/>
    <w:rsid w:val="00D464E2"/>
    <w:rsid w:val="00D47089"/>
    <w:rsid w:val="00D4721F"/>
    <w:rsid w:val="00D50960"/>
    <w:rsid w:val="00D50AA3"/>
    <w:rsid w:val="00D50E07"/>
    <w:rsid w:val="00D50EB8"/>
    <w:rsid w:val="00D5108C"/>
    <w:rsid w:val="00D5130D"/>
    <w:rsid w:val="00D51C1B"/>
    <w:rsid w:val="00D51C6C"/>
    <w:rsid w:val="00D51D00"/>
    <w:rsid w:val="00D51F25"/>
    <w:rsid w:val="00D5385B"/>
    <w:rsid w:val="00D53C59"/>
    <w:rsid w:val="00D547E8"/>
    <w:rsid w:val="00D54F1F"/>
    <w:rsid w:val="00D562C1"/>
    <w:rsid w:val="00D566CE"/>
    <w:rsid w:val="00D5697B"/>
    <w:rsid w:val="00D56995"/>
    <w:rsid w:val="00D56ABD"/>
    <w:rsid w:val="00D56E60"/>
    <w:rsid w:val="00D57137"/>
    <w:rsid w:val="00D57B5B"/>
    <w:rsid w:val="00D57D1D"/>
    <w:rsid w:val="00D57DB1"/>
    <w:rsid w:val="00D604BF"/>
    <w:rsid w:val="00D61076"/>
    <w:rsid w:val="00D612AD"/>
    <w:rsid w:val="00D612F8"/>
    <w:rsid w:val="00D61A2D"/>
    <w:rsid w:val="00D62540"/>
    <w:rsid w:val="00D62B29"/>
    <w:rsid w:val="00D63E18"/>
    <w:rsid w:val="00D63EA7"/>
    <w:rsid w:val="00D640E5"/>
    <w:rsid w:val="00D653C7"/>
    <w:rsid w:val="00D65CB0"/>
    <w:rsid w:val="00D66545"/>
    <w:rsid w:val="00D67614"/>
    <w:rsid w:val="00D67671"/>
    <w:rsid w:val="00D6786D"/>
    <w:rsid w:val="00D7197C"/>
    <w:rsid w:val="00D71A70"/>
    <w:rsid w:val="00D721A7"/>
    <w:rsid w:val="00D72520"/>
    <w:rsid w:val="00D72782"/>
    <w:rsid w:val="00D7280A"/>
    <w:rsid w:val="00D732DF"/>
    <w:rsid w:val="00D7386E"/>
    <w:rsid w:val="00D73ACF"/>
    <w:rsid w:val="00D73DC2"/>
    <w:rsid w:val="00D73EC5"/>
    <w:rsid w:val="00D7409E"/>
    <w:rsid w:val="00D740D3"/>
    <w:rsid w:val="00D74812"/>
    <w:rsid w:val="00D74A5C"/>
    <w:rsid w:val="00D74BAB"/>
    <w:rsid w:val="00D75293"/>
    <w:rsid w:val="00D75C6A"/>
    <w:rsid w:val="00D75E5C"/>
    <w:rsid w:val="00D76258"/>
    <w:rsid w:val="00D7626A"/>
    <w:rsid w:val="00D7678E"/>
    <w:rsid w:val="00D77336"/>
    <w:rsid w:val="00D77349"/>
    <w:rsid w:val="00D77935"/>
    <w:rsid w:val="00D77B84"/>
    <w:rsid w:val="00D77B8F"/>
    <w:rsid w:val="00D816B4"/>
    <w:rsid w:val="00D822BF"/>
    <w:rsid w:val="00D8231D"/>
    <w:rsid w:val="00D82A6D"/>
    <w:rsid w:val="00D8308E"/>
    <w:rsid w:val="00D8345F"/>
    <w:rsid w:val="00D8359F"/>
    <w:rsid w:val="00D83EE1"/>
    <w:rsid w:val="00D84757"/>
    <w:rsid w:val="00D8527B"/>
    <w:rsid w:val="00D85978"/>
    <w:rsid w:val="00D85AB5"/>
    <w:rsid w:val="00D87205"/>
    <w:rsid w:val="00D8728B"/>
    <w:rsid w:val="00D87613"/>
    <w:rsid w:val="00D87F10"/>
    <w:rsid w:val="00D90C7E"/>
    <w:rsid w:val="00D90F42"/>
    <w:rsid w:val="00D9106D"/>
    <w:rsid w:val="00D91384"/>
    <w:rsid w:val="00D923B8"/>
    <w:rsid w:val="00D934BA"/>
    <w:rsid w:val="00D9387E"/>
    <w:rsid w:val="00D93F9D"/>
    <w:rsid w:val="00D94ABB"/>
    <w:rsid w:val="00D95E93"/>
    <w:rsid w:val="00D95F26"/>
    <w:rsid w:val="00D96816"/>
    <w:rsid w:val="00D97D32"/>
    <w:rsid w:val="00DA07FE"/>
    <w:rsid w:val="00DA0D27"/>
    <w:rsid w:val="00DA27BA"/>
    <w:rsid w:val="00DA2CCC"/>
    <w:rsid w:val="00DA2FB1"/>
    <w:rsid w:val="00DA2FD2"/>
    <w:rsid w:val="00DA304F"/>
    <w:rsid w:val="00DA3679"/>
    <w:rsid w:val="00DA3D02"/>
    <w:rsid w:val="00DA3E48"/>
    <w:rsid w:val="00DA3EFC"/>
    <w:rsid w:val="00DA465E"/>
    <w:rsid w:val="00DA4E52"/>
    <w:rsid w:val="00DA5230"/>
    <w:rsid w:val="00DA57F5"/>
    <w:rsid w:val="00DA5802"/>
    <w:rsid w:val="00DA5EE8"/>
    <w:rsid w:val="00DA63B3"/>
    <w:rsid w:val="00DA6FC6"/>
    <w:rsid w:val="00DA7771"/>
    <w:rsid w:val="00DA792F"/>
    <w:rsid w:val="00DB01AE"/>
    <w:rsid w:val="00DB0DB9"/>
    <w:rsid w:val="00DB11DA"/>
    <w:rsid w:val="00DB1917"/>
    <w:rsid w:val="00DB27A3"/>
    <w:rsid w:val="00DB2BAC"/>
    <w:rsid w:val="00DB311D"/>
    <w:rsid w:val="00DB396A"/>
    <w:rsid w:val="00DB42C9"/>
    <w:rsid w:val="00DB4487"/>
    <w:rsid w:val="00DB5943"/>
    <w:rsid w:val="00DB5F1B"/>
    <w:rsid w:val="00DB647E"/>
    <w:rsid w:val="00DB729E"/>
    <w:rsid w:val="00DB7344"/>
    <w:rsid w:val="00DB7686"/>
    <w:rsid w:val="00DB78A0"/>
    <w:rsid w:val="00DB7C5A"/>
    <w:rsid w:val="00DB7F72"/>
    <w:rsid w:val="00DC0714"/>
    <w:rsid w:val="00DC071E"/>
    <w:rsid w:val="00DC135C"/>
    <w:rsid w:val="00DC2161"/>
    <w:rsid w:val="00DC26E5"/>
    <w:rsid w:val="00DC280D"/>
    <w:rsid w:val="00DC29EF"/>
    <w:rsid w:val="00DC2FC2"/>
    <w:rsid w:val="00DC3845"/>
    <w:rsid w:val="00DC3935"/>
    <w:rsid w:val="00DC3CD2"/>
    <w:rsid w:val="00DC41AC"/>
    <w:rsid w:val="00DC4337"/>
    <w:rsid w:val="00DC4D9F"/>
    <w:rsid w:val="00DC4DE4"/>
    <w:rsid w:val="00DC52FF"/>
    <w:rsid w:val="00DC5356"/>
    <w:rsid w:val="00DC542E"/>
    <w:rsid w:val="00DC56D7"/>
    <w:rsid w:val="00DC5EC3"/>
    <w:rsid w:val="00DC65B5"/>
    <w:rsid w:val="00DC7406"/>
    <w:rsid w:val="00DC7A3A"/>
    <w:rsid w:val="00DD021A"/>
    <w:rsid w:val="00DD041B"/>
    <w:rsid w:val="00DD14B1"/>
    <w:rsid w:val="00DD1AFE"/>
    <w:rsid w:val="00DD1D9C"/>
    <w:rsid w:val="00DD261A"/>
    <w:rsid w:val="00DD3819"/>
    <w:rsid w:val="00DD3BEA"/>
    <w:rsid w:val="00DD3C5B"/>
    <w:rsid w:val="00DD430D"/>
    <w:rsid w:val="00DD4E01"/>
    <w:rsid w:val="00DD53B3"/>
    <w:rsid w:val="00DD5765"/>
    <w:rsid w:val="00DD6FC6"/>
    <w:rsid w:val="00DD7621"/>
    <w:rsid w:val="00DD77D4"/>
    <w:rsid w:val="00DD7FA3"/>
    <w:rsid w:val="00DD7FDD"/>
    <w:rsid w:val="00DE031B"/>
    <w:rsid w:val="00DE0410"/>
    <w:rsid w:val="00DE079D"/>
    <w:rsid w:val="00DE0860"/>
    <w:rsid w:val="00DE0876"/>
    <w:rsid w:val="00DE0961"/>
    <w:rsid w:val="00DE0989"/>
    <w:rsid w:val="00DE0E3E"/>
    <w:rsid w:val="00DE1989"/>
    <w:rsid w:val="00DE1AD6"/>
    <w:rsid w:val="00DE1FAD"/>
    <w:rsid w:val="00DE2555"/>
    <w:rsid w:val="00DE2C90"/>
    <w:rsid w:val="00DE3C40"/>
    <w:rsid w:val="00DE4255"/>
    <w:rsid w:val="00DE4311"/>
    <w:rsid w:val="00DE4655"/>
    <w:rsid w:val="00DE47B7"/>
    <w:rsid w:val="00DE4A93"/>
    <w:rsid w:val="00DE50B5"/>
    <w:rsid w:val="00DE6549"/>
    <w:rsid w:val="00DE69F9"/>
    <w:rsid w:val="00DE7CB7"/>
    <w:rsid w:val="00DE7D73"/>
    <w:rsid w:val="00DF0F89"/>
    <w:rsid w:val="00DF104A"/>
    <w:rsid w:val="00DF1A4D"/>
    <w:rsid w:val="00DF2249"/>
    <w:rsid w:val="00DF263F"/>
    <w:rsid w:val="00DF2A53"/>
    <w:rsid w:val="00DF44DD"/>
    <w:rsid w:val="00DF469D"/>
    <w:rsid w:val="00DF47EA"/>
    <w:rsid w:val="00DF4A7E"/>
    <w:rsid w:val="00DF4AD1"/>
    <w:rsid w:val="00DF5198"/>
    <w:rsid w:val="00DF59C7"/>
    <w:rsid w:val="00DF5E78"/>
    <w:rsid w:val="00DF65CE"/>
    <w:rsid w:val="00DF6F93"/>
    <w:rsid w:val="00DF76EE"/>
    <w:rsid w:val="00DF7812"/>
    <w:rsid w:val="00DF7A66"/>
    <w:rsid w:val="00DF7C0C"/>
    <w:rsid w:val="00DF7F88"/>
    <w:rsid w:val="00E0050D"/>
    <w:rsid w:val="00E00530"/>
    <w:rsid w:val="00E00693"/>
    <w:rsid w:val="00E008E6"/>
    <w:rsid w:val="00E00A55"/>
    <w:rsid w:val="00E00BE4"/>
    <w:rsid w:val="00E01394"/>
    <w:rsid w:val="00E01906"/>
    <w:rsid w:val="00E02850"/>
    <w:rsid w:val="00E0287B"/>
    <w:rsid w:val="00E02A93"/>
    <w:rsid w:val="00E03644"/>
    <w:rsid w:val="00E03E34"/>
    <w:rsid w:val="00E03F1A"/>
    <w:rsid w:val="00E041E6"/>
    <w:rsid w:val="00E042FA"/>
    <w:rsid w:val="00E04347"/>
    <w:rsid w:val="00E04490"/>
    <w:rsid w:val="00E04BFB"/>
    <w:rsid w:val="00E04EB8"/>
    <w:rsid w:val="00E05103"/>
    <w:rsid w:val="00E05364"/>
    <w:rsid w:val="00E053FE"/>
    <w:rsid w:val="00E0579D"/>
    <w:rsid w:val="00E05B1E"/>
    <w:rsid w:val="00E06B25"/>
    <w:rsid w:val="00E07353"/>
    <w:rsid w:val="00E073AD"/>
    <w:rsid w:val="00E07B64"/>
    <w:rsid w:val="00E07D61"/>
    <w:rsid w:val="00E10197"/>
    <w:rsid w:val="00E1057A"/>
    <w:rsid w:val="00E10E66"/>
    <w:rsid w:val="00E110D3"/>
    <w:rsid w:val="00E110E1"/>
    <w:rsid w:val="00E11445"/>
    <w:rsid w:val="00E117BA"/>
    <w:rsid w:val="00E11E22"/>
    <w:rsid w:val="00E11F58"/>
    <w:rsid w:val="00E12CA7"/>
    <w:rsid w:val="00E13632"/>
    <w:rsid w:val="00E1483C"/>
    <w:rsid w:val="00E14D4F"/>
    <w:rsid w:val="00E14D6A"/>
    <w:rsid w:val="00E1571D"/>
    <w:rsid w:val="00E15C58"/>
    <w:rsid w:val="00E15E27"/>
    <w:rsid w:val="00E170D1"/>
    <w:rsid w:val="00E17E50"/>
    <w:rsid w:val="00E2060F"/>
    <w:rsid w:val="00E20741"/>
    <w:rsid w:val="00E20D14"/>
    <w:rsid w:val="00E21541"/>
    <w:rsid w:val="00E21946"/>
    <w:rsid w:val="00E21CDA"/>
    <w:rsid w:val="00E21EAA"/>
    <w:rsid w:val="00E24309"/>
    <w:rsid w:val="00E254C0"/>
    <w:rsid w:val="00E26145"/>
    <w:rsid w:val="00E26F60"/>
    <w:rsid w:val="00E274BC"/>
    <w:rsid w:val="00E27507"/>
    <w:rsid w:val="00E3024B"/>
    <w:rsid w:val="00E306FF"/>
    <w:rsid w:val="00E310EE"/>
    <w:rsid w:val="00E3111E"/>
    <w:rsid w:val="00E315A2"/>
    <w:rsid w:val="00E3196F"/>
    <w:rsid w:val="00E31C86"/>
    <w:rsid w:val="00E31D67"/>
    <w:rsid w:val="00E31F2A"/>
    <w:rsid w:val="00E320FA"/>
    <w:rsid w:val="00E3251E"/>
    <w:rsid w:val="00E32520"/>
    <w:rsid w:val="00E325C5"/>
    <w:rsid w:val="00E329E8"/>
    <w:rsid w:val="00E32E80"/>
    <w:rsid w:val="00E33837"/>
    <w:rsid w:val="00E33ABE"/>
    <w:rsid w:val="00E33C58"/>
    <w:rsid w:val="00E3430A"/>
    <w:rsid w:val="00E34FF6"/>
    <w:rsid w:val="00E35A43"/>
    <w:rsid w:val="00E364D9"/>
    <w:rsid w:val="00E37290"/>
    <w:rsid w:val="00E37615"/>
    <w:rsid w:val="00E4008E"/>
    <w:rsid w:val="00E401EF"/>
    <w:rsid w:val="00E40230"/>
    <w:rsid w:val="00E408B4"/>
    <w:rsid w:val="00E40973"/>
    <w:rsid w:val="00E416A2"/>
    <w:rsid w:val="00E418F6"/>
    <w:rsid w:val="00E4265D"/>
    <w:rsid w:val="00E4271D"/>
    <w:rsid w:val="00E43363"/>
    <w:rsid w:val="00E435C5"/>
    <w:rsid w:val="00E43FB0"/>
    <w:rsid w:val="00E44750"/>
    <w:rsid w:val="00E44D0A"/>
    <w:rsid w:val="00E4577B"/>
    <w:rsid w:val="00E45D43"/>
    <w:rsid w:val="00E46366"/>
    <w:rsid w:val="00E464CB"/>
    <w:rsid w:val="00E46BB3"/>
    <w:rsid w:val="00E46CB7"/>
    <w:rsid w:val="00E46E07"/>
    <w:rsid w:val="00E47479"/>
    <w:rsid w:val="00E47E13"/>
    <w:rsid w:val="00E50134"/>
    <w:rsid w:val="00E501C1"/>
    <w:rsid w:val="00E502F1"/>
    <w:rsid w:val="00E5087C"/>
    <w:rsid w:val="00E50B7C"/>
    <w:rsid w:val="00E50B9C"/>
    <w:rsid w:val="00E50DBD"/>
    <w:rsid w:val="00E51033"/>
    <w:rsid w:val="00E5130B"/>
    <w:rsid w:val="00E5235A"/>
    <w:rsid w:val="00E52791"/>
    <w:rsid w:val="00E530E6"/>
    <w:rsid w:val="00E5336C"/>
    <w:rsid w:val="00E53C71"/>
    <w:rsid w:val="00E53CD0"/>
    <w:rsid w:val="00E54DF3"/>
    <w:rsid w:val="00E55DC2"/>
    <w:rsid w:val="00E562C4"/>
    <w:rsid w:val="00E56AC5"/>
    <w:rsid w:val="00E605FD"/>
    <w:rsid w:val="00E614BD"/>
    <w:rsid w:val="00E61B6D"/>
    <w:rsid w:val="00E61CD8"/>
    <w:rsid w:val="00E624D2"/>
    <w:rsid w:val="00E62884"/>
    <w:rsid w:val="00E62A5E"/>
    <w:rsid w:val="00E63024"/>
    <w:rsid w:val="00E638B9"/>
    <w:rsid w:val="00E64151"/>
    <w:rsid w:val="00E643FB"/>
    <w:rsid w:val="00E64AC8"/>
    <w:rsid w:val="00E65CBF"/>
    <w:rsid w:val="00E667BD"/>
    <w:rsid w:val="00E6776C"/>
    <w:rsid w:val="00E6782A"/>
    <w:rsid w:val="00E67D98"/>
    <w:rsid w:val="00E67EC3"/>
    <w:rsid w:val="00E7029A"/>
    <w:rsid w:val="00E70560"/>
    <w:rsid w:val="00E7082C"/>
    <w:rsid w:val="00E70C9C"/>
    <w:rsid w:val="00E71AED"/>
    <w:rsid w:val="00E71B91"/>
    <w:rsid w:val="00E72951"/>
    <w:rsid w:val="00E739EE"/>
    <w:rsid w:val="00E73C1E"/>
    <w:rsid w:val="00E73F74"/>
    <w:rsid w:val="00E7402E"/>
    <w:rsid w:val="00E745B1"/>
    <w:rsid w:val="00E7492D"/>
    <w:rsid w:val="00E74E99"/>
    <w:rsid w:val="00E75027"/>
    <w:rsid w:val="00E75046"/>
    <w:rsid w:val="00E751A4"/>
    <w:rsid w:val="00E75BE5"/>
    <w:rsid w:val="00E769FB"/>
    <w:rsid w:val="00E76CC0"/>
    <w:rsid w:val="00E76F33"/>
    <w:rsid w:val="00E76F93"/>
    <w:rsid w:val="00E773BA"/>
    <w:rsid w:val="00E77B45"/>
    <w:rsid w:val="00E80330"/>
    <w:rsid w:val="00E80ABC"/>
    <w:rsid w:val="00E8194F"/>
    <w:rsid w:val="00E81DAA"/>
    <w:rsid w:val="00E8240F"/>
    <w:rsid w:val="00E827BC"/>
    <w:rsid w:val="00E82CBE"/>
    <w:rsid w:val="00E83417"/>
    <w:rsid w:val="00E837FA"/>
    <w:rsid w:val="00E83917"/>
    <w:rsid w:val="00E83EBB"/>
    <w:rsid w:val="00E84758"/>
    <w:rsid w:val="00E84AF1"/>
    <w:rsid w:val="00E852BB"/>
    <w:rsid w:val="00E85910"/>
    <w:rsid w:val="00E87484"/>
    <w:rsid w:val="00E875E9"/>
    <w:rsid w:val="00E87F94"/>
    <w:rsid w:val="00E90B8C"/>
    <w:rsid w:val="00E91489"/>
    <w:rsid w:val="00E91D9D"/>
    <w:rsid w:val="00E923C1"/>
    <w:rsid w:val="00E93068"/>
    <w:rsid w:val="00E93D37"/>
    <w:rsid w:val="00E94F1E"/>
    <w:rsid w:val="00E954E4"/>
    <w:rsid w:val="00E95666"/>
    <w:rsid w:val="00E9576A"/>
    <w:rsid w:val="00E95B16"/>
    <w:rsid w:val="00E95D05"/>
    <w:rsid w:val="00E9632C"/>
    <w:rsid w:val="00E967FE"/>
    <w:rsid w:val="00E96B5E"/>
    <w:rsid w:val="00E978C6"/>
    <w:rsid w:val="00E97937"/>
    <w:rsid w:val="00E97AF3"/>
    <w:rsid w:val="00E97F02"/>
    <w:rsid w:val="00EA00C2"/>
    <w:rsid w:val="00EA0307"/>
    <w:rsid w:val="00EA041E"/>
    <w:rsid w:val="00EA0B91"/>
    <w:rsid w:val="00EA0CEA"/>
    <w:rsid w:val="00EA0ED1"/>
    <w:rsid w:val="00EA137A"/>
    <w:rsid w:val="00EA17AA"/>
    <w:rsid w:val="00EA2A86"/>
    <w:rsid w:val="00EA3284"/>
    <w:rsid w:val="00EA447B"/>
    <w:rsid w:val="00EA473F"/>
    <w:rsid w:val="00EA4CA8"/>
    <w:rsid w:val="00EA5E3D"/>
    <w:rsid w:val="00EA713D"/>
    <w:rsid w:val="00EA7524"/>
    <w:rsid w:val="00EA75D0"/>
    <w:rsid w:val="00EB0197"/>
    <w:rsid w:val="00EB1106"/>
    <w:rsid w:val="00EB1EA4"/>
    <w:rsid w:val="00EB1F00"/>
    <w:rsid w:val="00EB37D3"/>
    <w:rsid w:val="00EB3A2B"/>
    <w:rsid w:val="00EB3BBF"/>
    <w:rsid w:val="00EB4178"/>
    <w:rsid w:val="00EB4BC4"/>
    <w:rsid w:val="00EB4EA0"/>
    <w:rsid w:val="00EB69E5"/>
    <w:rsid w:val="00EB75F7"/>
    <w:rsid w:val="00EB7739"/>
    <w:rsid w:val="00EB788A"/>
    <w:rsid w:val="00EB7CC1"/>
    <w:rsid w:val="00EC037A"/>
    <w:rsid w:val="00EC077F"/>
    <w:rsid w:val="00EC0A8D"/>
    <w:rsid w:val="00EC1168"/>
    <w:rsid w:val="00EC1F19"/>
    <w:rsid w:val="00EC1FBB"/>
    <w:rsid w:val="00EC304C"/>
    <w:rsid w:val="00EC316D"/>
    <w:rsid w:val="00EC3207"/>
    <w:rsid w:val="00EC3231"/>
    <w:rsid w:val="00EC4A1E"/>
    <w:rsid w:val="00EC4C60"/>
    <w:rsid w:val="00EC4CAC"/>
    <w:rsid w:val="00EC4E1E"/>
    <w:rsid w:val="00EC56F9"/>
    <w:rsid w:val="00EC5911"/>
    <w:rsid w:val="00EC5D27"/>
    <w:rsid w:val="00EC5E2F"/>
    <w:rsid w:val="00EC656C"/>
    <w:rsid w:val="00EC662B"/>
    <w:rsid w:val="00EC70C3"/>
    <w:rsid w:val="00EC73C8"/>
    <w:rsid w:val="00EC74C3"/>
    <w:rsid w:val="00EC792B"/>
    <w:rsid w:val="00EC7C43"/>
    <w:rsid w:val="00EC7C49"/>
    <w:rsid w:val="00EC7D9F"/>
    <w:rsid w:val="00ED11DF"/>
    <w:rsid w:val="00ED2491"/>
    <w:rsid w:val="00ED257F"/>
    <w:rsid w:val="00ED2AC5"/>
    <w:rsid w:val="00ED33AB"/>
    <w:rsid w:val="00ED4498"/>
    <w:rsid w:val="00ED5801"/>
    <w:rsid w:val="00ED6C70"/>
    <w:rsid w:val="00ED6ED3"/>
    <w:rsid w:val="00ED76CA"/>
    <w:rsid w:val="00ED7D73"/>
    <w:rsid w:val="00EE0516"/>
    <w:rsid w:val="00EE1742"/>
    <w:rsid w:val="00EE1749"/>
    <w:rsid w:val="00EE1956"/>
    <w:rsid w:val="00EE1D11"/>
    <w:rsid w:val="00EE205F"/>
    <w:rsid w:val="00EE24DC"/>
    <w:rsid w:val="00EE26D8"/>
    <w:rsid w:val="00EE2C4C"/>
    <w:rsid w:val="00EE3540"/>
    <w:rsid w:val="00EE44C7"/>
    <w:rsid w:val="00EE4576"/>
    <w:rsid w:val="00EE4615"/>
    <w:rsid w:val="00EE46B9"/>
    <w:rsid w:val="00EE4838"/>
    <w:rsid w:val="00EE5B83"/>
    <w:rsid w:val="00EE5C9B"/>
    <w:rsid w:val="00EE5F6F"/>
    <w:rsid w:val="00EE6320"/>
    <w:rsid w:val="00EE641E"/>
    <w:rsid w:val="00EE71CC"/>
    <w:rsid w:val="00EE7EE4"/>
    <w:rsid w:val="00EF065F"/>
    <w:rsid w:val="00EF0E65"/>
    <w:rsid w:val="00EF1373"/>
    <w:rsid w:val="00EF1428"/>
    <w:rsid w:val="00EF15A1"/>
    <w:rsid w:val="00EF1B21"/>
    <w:rsid w:val="00EF2831"/>
    <w:rsid w:val="00EF2B9A"/>
    <w:rsid w:val="00EF2BEF"/>
    <w:rsid w:val="00EF33F6"/>
    <w:rsid w:val="00EF4CAB"/>
    <w:rsid w:val="00EF4FD4"/>
    <w:rsid w:val="00EF5D7E"/>
    <w:rsid w:val="00EF601B"/>
    <w:rsid w:val="00EF70C7"/>
    <w:rsid w:val="00EF7785"/>
    <w:rsid w:val="00EF7DFB"/>
    <w:rsid w:val="00F00720"/>
    <w:rsid w:val="00F00B24"/>
    <w:rsid w:val="00F00B9A"/>
    <w:rsid w:val="00F018CF"/>
    <w:rsid w:val="00F01B90"/>
    <w:rsid w:val="00F025A8"/>
    <w:rsid w:val="00F02607"/>
    <w:rsid w:val="00F02AA3"/>
    <w:rsid w:val="00F02BE8"/>
    <w:rsid w:val="00F036F7"/>
    <w:rsid w:val="00F038E0"/>
    <w:rsid w:val="00F04231"/>
    <w:rsid w:val="00F043F5"/>
    <w:rsid w:val="00F044CB"/>
    <w:rsid w:val="00F0474D"/>
    <w:rsid w:val="00F04C51"/>
    <w:rsid w:val="00F04FAC"/>
    <w:rsid w:val="00F0504C"/>
    <w:rsid w:val="00F053B4"/>
    <w:rsid w:val="00F05652"/>
    <w:rsid w:val="00F0573D"/>
    <w:rsid w:val="00F06DF1"/>
    <w:rsid w:val="00F06E6D"/>
    <w:rsid w:val="00F07069"/>
    <w:rsid w:val="00F07A1F"/>
    <w:rsid w:val="00F10002"/>
    <w:rsid w:val="00F1055D"/>
    <w:rsid w:val="00F10B2E"/>
    <w:rsid w:val="00F10C1A"/>
    <w:rsid w:val="00F113F1"/>
    <w:rsid w:val="00F11665"/>
    <w:rsid w:val="00F1175A"/>
    <w:rsid w:val="00F11E8E"/>
    <w:rsid w:val="00F11FC8"/>
    <w:rsid w:val="00F1207D"/>
    <w:rsid w:val="00F12289"/>
    <w:rsid w:val="00F1235B"/>
    <w:rsid w:val="00F12541"/>
    <w:rsid w:val="00F12704"/>
    <w:rsid w:val="00F13160"/>
    <w:rsid w:val="00F13528"/>
    <w:rsid w:val="00F13718"/>
    <w:rsid w:val="00F13868"/>
    <w:rsid w:val="00F148CA"/>
    <w:rsid w:val="00F14960"/>
    <w:rsid w:val="00F14A4E"/>
    <w:rsid w:val="00F14FEE"/>
    <w:rsid w:val="00F15524"/>
    <w:rsid w:val="00F165B2"/>
    <w:rsid w:val="00F16822"/>
    <w:rsid w:val="00F1704E"/>
    <w:rsid w:val="00F17284"/>
    <w:rsid w:val="00F17CD7"/>
    <w:rsid w:val="00F2013C"/>
    <w:rsid w:val="00F20E76"/>
    <w:rsid w:val="00F21049"/>
    <w:rsid w:val="00F21290"/>
    <w:rsid w:val="00F22F6D"/>
    <w:rsid w:val="00F23C4B"/>
    <w:rsid w:val="00F24182"/>
    <w:rsid w:val="00F2453B"/>
    <w:rsid w:val="00F24B2A"/>
    <w:rsid w:val="00F24C60"/>
    <w:rsid w:val="00F254D3"/>
    <w:rsid w:val="00F2556F"/>
    <w:rsid w:val="00F256E8"/>
    <w:rsid w:val="00F25BAB"/>
    <w:rsid w:val="00F25BC3"/>
    <w:rsid w:val="00F25C7E"/>
    <w:rsid w:val="00F26325"/>
    <w:rsid w:val="00F26327"/>
    <w:rsid w:val="00F267C5"/>
    <w:rsid w:val="00F26982"/>
    <w:rsid w:val="00F26AEA"/>
    <w:rsid w:val="00F26B7A"/>
    <w:rsid w:val="00F26C6D"/>
    <w:rsid w:val="00F2714F"/>
    <w:rsid w:val="00F275F3"/>
    <w:rsid w:val="00F2767C"/>
    <w:rsid w:val="00F27A69"/>
    <w:rsid w:val="00F3025E"/>
    <w:rsid w:val="00F302FA"/>
    <w:rsid w:val="00F303F7"/>
    <w:rsid w:val="00F30502"/>
    <w:rsid w:val="00F3136E"/>
    <w:rsid w:val="00F315FD"/>
    <w:rsid w:val="00F325E4"/>
    <w:rsid w:val="00F33137"/>
    <w:rsid w:val="00F333DC"/>
    <w:rsid w:val="00F333E9"/>
    <w:rsid w:val="00F33896"/>
    <w:rsid w:val="00F33C57"/>
    <w:rsid w:val="00F3486B"/>
    <w:rsid w:val="00F34948"/>
    <w:rsid w:val="00F3517C"/>
    <w:rsid w:val="00F35746"/>
    <w:rsid w:val="00F36A54"/>
    <w:rsid w:val="00F36BDC"/>
    <w:rsid w:val="00F372C7"/>
    <w:rsid w:val="00F37F84"/>
    <w:rsid w:val="00F40123"/>
    <w:rsid w:val="00F4050E"/>
    <w:rsid w:val="00F405F4"/>
    <w:rsid w:val="00F40CC8"/>
    <w:rsid w:val="00F40D45"/>
    <w:rsid w:val="00F410C0"/>
    <w:rsid w:val="00F411B2"/>
    <w:rsid w:val="00F412F3"/>
    <w:rsid w:val="00F41874"/>
    <w:rsid w:val="00F41A8C"/>
    <w:rsid w:val="00F41CB7"/>
    <w:rsid w:val="00F41EAF"/>
    <w:rsid w:val="00F422C6"/>
    <w:rsid w:val="00F4230F"/>
    <w:rsid w:val="00F42872"/>
    <w:rsid w:val="00F42AA9"/>
    <w:rsid w:val="00F42AFC"/>
    <w:rsid w:val="00F4317F"/>
    <w:rsid w:val="00F431C6"/>
    <w:rsid w:val="00F43868"/>
    <w:rsid w:val="00F43ADF"/>
    <w:rsid w:val="00F445F2"/>
    <w:rsid w:val="00F44BF1"/>
    <w:rsid w:val="00F44DA5"/>
    <w:rsid w:val="00F451D0"/>
    <w:rsid w:val="00F45335"/>
    <w:rsid w:val="00F455D1"/>
    <w:rsid w:val="00F4576A"/>
    <w:rsid w:val="00F4597B"/>
    <w:rsid w:val="00F45A8A"/>
    <w:rsid w:val="00F45CD9"/>
    <w:rsid w:val="00F461D1"/>
    <w:rsid w:val="00F4739F"/>
    <w:rsid w:val="00F50045"/>
    <w:rsid w:val="00F500F4"/>
    <w:rsid w:val="00F50E9A"/>
    <w:rsid w:val="00F516EB"/>
    <w:rsid w:val="00F51763"/>
    <w:rsid w:val="00F518C9"/>
    <w:rsid w:val="00F519E6"/>
    <w:rsid w:val="00F51A51"/>
    <w:rsid w:val="00F52093"/>
    <w:rsid w:val="00F528B2"/>
    <w:rsid w:val="00F529BD"/>
    <w:rsid w:val="00F53B58"/>
    <w:rsid w:val="00F544DA"/>
    <w:rsid w:val="00F547C0"/>
    <w:rsid w:val="00F548BE"/>
    <w:rsid w:val="00F55246"/>
    <w:rsid w:val="00F55425"/>
    <w:rsid w:val="00F55592"/>
    <w:rsid w:val="00F558FE"/>
    <w:rsid w:val="00F5611C"/>
    <w:rsid w:val="00F56251"/>
    <w:rsid w:val="00F5652A"/>
    <w:rsid w:val="00F565CF"/>
    <w:rsid w:val="00F56A19"/>
    <w:rsid w:val="00F575FE"/>
    <w:rsid w:val="00F57BA7"/>
    <w:rsid w:val="00F608F9"/>
    <w:rsid w:val="00F60F55"/>
    <w:rsid w:val="00F61479"/>
    <w:rsid w:val="00F61543"/>
    <w:rsid w:val="00F618D6"/>
    <w:rsid w:val="00F61C75"/>
    <w:rsid w:val="00F62364"/>
    <w:rsid w:val="00F630C9"/>
    <w:rsid w:val="00F631AA"/>
    <w:rsid w:val="00F63231"/>
    <w:rsid w:val="00F637BE"/>
    <w:rsid w:val="00F63846"/>
    <w:rsid w:val="00F63A56"/>
    <w:rsid w:val="00F63CDE"/>
    <w:rsid w:val="00F640CE"/>
    <w:rsid w:val="00F64BD1"/>
    <w:rsid w:val="00F65C40"/>
    <w:rsid w:val="00F65F7C"/>
    <w:rsid w:val="00F66307"/>
    <w:rsid w:val="00F66833"/>
    <w:rsid w:val="00F67279"/>
    <w:rsid w:val="00F678A1"/>
    <w:rsid w:val="00F67BF6"/>
    <w:rsid w:val="00F70641"/>
    <w:rsid w:val="00F70721"/>
    <w:rsid w:val="00F70822"/>
    <w:rsid w:val="00F70CA5"/>
    <w:rsid w:val="00F71B06"/>
    <w:rsid w:val="00F72A54"/>
    <w:rsid w:val="00F72B5E"/>
    <w:rsid w:val="00F731E7"/>
    <w:rsid w:val="00F7412A"/>
    <w:rsid w:val="00F757C8"/>
    <w:rsid w:val="00F75A57"/>
    <w:rsid w:val="00F76214"/>
    <w:rsid w:val="00F76269"/>
    <w:rsid w:val="00F77037"/>
    <w:rsid w:val="00F77306"/>
    <w:rsid w:val="00F775F4"/>
    <w:rsid w:val="00F779E2"/>
    <w:rsid w:val="00F77A05"/>
    <w:rsid w:val="00F77BEC"/>
    <w:rsid w:val="00F80545"/>
    <w:rsid w:val="00F80B38"/>
    <w:rsid w:val="00F81BD9"/>
    <w:rsid w:val="00F81D01"/>
    <w:rsid w:val="00F8200E"/>
    <w:rsid w:val="00F821FC"/>
    <w:rsid w:val="00F83157"/>
    <w:rsid w:val="00F834D2"/>
    <w:rsid w:val="00F840CE"/>
    <w:rsid w:val="00F85F1B"/>
    <w:rsid w:val="00F86195"/>
    <w:rsid w:val="00F869B2"/>
    <w:rsid w:val="00F86BED"/>
    <w:rsid w:val="00F86E34"/>
    <w:rsid w:val="00F8720C"/>
    <w:rsid w:val="00F8768D"/>
    <w:rsid w:val="00F90037"/>
    <w:rsid w:val="00F90546"/>
    <w:rsid w:val="00F9135A"/>
    <w:rsid w:val="00F921DB"/>
    <w:rsid w:val="00F926DC"/>
    <w:rsid w:val="00F932AB"/>
    <w:rsid w:val="00F93D6D"/>
    <w:rsid w:val="00F94120"/>
    <w:rsid w:val="00F94217"/>
    <w:rsid w:val="00F948C8"/>
    <w:rsid w:val="00F94FA4"/>
    <w:rsid w:val="00F94FAA"/>
    <w:rsid w:val="00F9506F"/>
    <w:rsid w:val="00F9548B"/>
    <w:rsid w:val="00F957C3"/>
    <w:rsid w:val="00F95AAE"/>
    <w:rsid w:val="00F95B26"/>
    <w:rsid w:val="00F96325"/>
    <w:rsid w:val="00F96A2F"/>
    <w:rsid w:val="00F96AFD"/>
    <w:rsid w:val="00F97BA0"/>
    <w:rsid w:val="00FA0675"/>
    <w:rsid w:val="00FA0676"/>
    <w:rsid w:val="00FA0AB7"/>
    <w:rsid w:val="00FA0F32"/>
    <w:rsid w:val="00FA105D"/>
    <w:rsid w:val="00FA1BC3"/>
    <w:rsid w:val="00FA1DB6"/>
    <w:rsid w:val="00FA2A25"/>
    <w:rsid w:val="00FA2F09"/>
    <w:rsid w:val="00FA2F42"/>
    <w:rsid w:val="00FA3BA8"/>
    <w:rsid w:val="00FA482B"/>
    <w:rsid w:val="00FA4DD1"/>
    <w:rsid w:val="00FA5075"/>
    <w:rsid w:val="00FA5127"/>
    <w:rsid w:val="00FA5CA2"/>
    <w:rsid w:val="00FA61F6"/>
    <w:rsid w:val="00FA68A7"/>
    <w:rsid w:val="00FA7578"/>
    <w:rsid w:val="00FB004F"/>
    <w:rsid w:val="00FB069C"/>
    <w:rsid w:val="00FB09A2"/>
    <w:rsid w:val="00FB0D83"/>
    <w:rsid w:val="00FB0F36"/>
    <w:rsid w:val="00FB0FA7"/>
    <w:rsid w:val="00FB1902"/>
    <w:rsid w:val="00FB2016"/>
    <w:rsid w:val="00FB22A2"/>
    <w:rsid w:val="00FB243A"/>
    <w:rsid w:val="00FB2493"/>
    <w:rsid w:val="00FB26D2"/>
    <w:rsid w:val="00FB2F9A"/>
    <w:rsid w:val="00FB3122"/>
    <w:rsid w:val="00FB45BF"/>
    <w:rsid w:val="00FB4A0D"/>
    <w:rsid w:val="00FB5BCE"/>
    <w:rsid w:val="00FB5F15"/>
    <w:rsid w:val="00FB739F"/>
    <w:rsid w:val="00FB73F9"/>
    <w:rsid w:val="00FC0810"/>
    <w:rsid w:val="00FC0CD9"/>
    <w:rsid w:val="00FC0F6C"/>
    <w:rsid w:val="00FC11B1"/>
    <w:rsid w:val="00FC214D"/>
    <w:rsid w:val="00FC28D4"/>
    <w:rsid w:val="00FC305A"/>
    <w:rsid w:val="00FC3392"/>
    <w:rsid w:val="00FC383F"/>
    <w:rsid w:val="00FC3915"/>
    <w:rsid w:val="00FC41F5"/>
    <w:rsid w:val="00FC4683"/>
    <w:rsid w:val="00FC515D"/>
    <w:rsid w:val="00FC5820"/>
    <w:rsid w:val="00FC58D8"/>
    <w:rsid w:val="00FC5981"/>
    <w:rsid w:val="00FC59A3"/>
    <w:rsid w:val="00FC600A"/>
    <w:rsid w:val="00FC6CA7"/>
    <w:rsid w:val="00FC7B22"/>
    <w:rsid w:val="00FC7E01"/>
    <w:rsid w:val="00FD087E"/>
    <w:rsid w:val="00FD08A9"/>
    <w:rsid w:val="00FD0D57"/>
    <w:rsid w:val="00FD0EA7"/>
    <w:rsid w:val="00FD1861"/>
    <w:rsid w:val="00FD21B3"/>
    <w:rsid w:val="00FD2458"/>
    <w:rsid w:val="00FD2A82"/>
    <w:rsid w:val="00FD2B74"/>
    <w:rsid w:val="00FD3D96"/>
    <w:rsid w:val="00FD3F08"/>
    <w:rsid w:val="00FD4804"/>
    <w:rsid w:val="00FD4AB1"/>
    <w:rsid w:val="00FD576C"/>
    <w:rsid w:val="00FD587B"/>
    <w:rsid w:val="00FD6700"/>
    <w:rsid w:val="00FD6723"/>
    <w:rsid w:val="00FD6F35"/>
    <w:rsid w:val="00FE008D"/>
    <w:rsid w:val="00FE06D5"/>
    <w:rsid w:val="00FE0830"/>
    <w:rsid w:val="00FE0DF9"/>
    <w:rsid w:val="00FE1005"/>
    <w:rsid w:val="00FE14DA"/>
    <w:rsid w:val="00FE1F27"/>
    <w:rsid w:val="00FE324C"/>
    <w:rsid w:val="00FE3313"/>
    <w:rsid w:val="00FE34CE"/>
    <w:rsid w:val="00FE3D39"/>
    <w:rsid w:val="00FE5A06"/>
    <w:rsid w:val="00FE61AC"/>
    <w:rsid w:val="00FE64B3"/>
    <w:rsid w:val="00FE6632"/>
    <w:rsid w:val="00FE6DC2"/>
    <w:rsid w:val="00FE6FA9"/>
    <w:rsid w:val="00FE72E5"/>
    <w:rsid w:val="00FE7467"/>
    <w:rsid w:val="00FE77BF"/>
    <w:rsid w:val="00FE7E8E"/>
    <w:rsid w:val="00FE7F5B"/>
    <w:rsid w:val="00FF12B2"/>
    <w:rsid w:val="00FF14A8"/>
    <w:rsid w:val="00FF178E"/>
    <w:rsid w:val="00FF2152"/>
    <w:rsid w:val="00FF281A"/>
    <w:rsid w:val="00FF357E"/>
    <w:rsid w:val="00FF39D3"/>
    <w:rsid w:val="00FF3A11"/>
    <w:rsid w:val="00FF3B9C"/>
    <w:rsid w:val="00FF47B1"/>
    <w:rsid w:val="00FF5188"/>
    <w:rsid w:val="00FF562D"/>
    <w:rsid w:val="00FF5D90"/>
    <w:rsid w:val="00FF6115"/>
    <w:rsid w:val="00FF715F"/>
    <w:rsid w:val="00FF7338"/>
    <w:rsid w:val="00FF7346"/>
    <w:rsid w:val="00FF7AB8"/>
    <w:rsid w:val="00FF7E6B"/>
    <w:rsid w:val="66066C0F"/>
  </w:rsids>
  <m:mathPr>
    <m:mathFont m:val="Cambria Math"/>
    <m:brkBin m:val="before"/>
    <m:brkBinSub m:val="--"/>
    <m:smallFrac m:val="0"/>
    <m:dispDef/>
    <m:lMargin m:val="0"/>
    <m:rMargin m:val="0"/>
    <m:defJc m:val="centerGroup"/>
    <m:wrapIndent m:val="1440"/>
    <m:intLim m:val="subSup"/>
    <m:naryLim m:val="undOvr"/>
  </m:mathPr>
  <w:doNotAutoCompressPictures/>
  <w:themeFontLang w:val="ru-RU" w:eastAsia="zh-CN"/>
  <w:clrSchemeMapping w:bg1="light1" w:t1="dark1" w:bg2="light2" w:t2="dark2" w:accent1="accent1" w:accent2="accent2" w:accent3="accent3" w:accent4="accent4" w:accent5="accent5" w:accent6="accent6" w:hyperlink="hyperlink" w:followedHyperlink="followedHyperlink"/>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1" w:semiHidden="0" w:name="Normal"/>
    <w:lsdException w:qFormat="1" w:uiPriority="1" w:semiHidden="0" w:name="heading 1"/>
    <w:lsdException w:qFormat="1" w:uiPriority="1" w:semiHidden="0" w:name="heading 2"/>
    <w:lsdException w:qFormat="1" w:uiPriority="1" w:semiHidden="0" w:name="heading 3"/>
    <w:lsdException w:qFormat="1" w:uiPriority="1" w:semiHidden="0" w:name="heading 4"/>
    <w:lsdException w:qFormat="1" w:uiPriority="1" w:semiHidden="0" w:name="heading 5"/>
    <w:lsdException w:qFormat="1" w:uiPriority="1" w:semiHidden="0" w:name="heading 6"/>
    <w:lsdException w:qFormat="1" w:uiPriority="1" w:semiHidden="0" w:name="heading 7"/>
    <w:lsdException w:qFormat="1" w:uiPriority="1" w:semiHidden="0" w:name="heading 8"/>
    <w:lsdException w:qFormat="1" w:uiPriority="1" w:semiHidden="0" w:name="heading 9"/>
    <w:lsdException w:unhideWhenUsed="0" w:uiPriority="1" w:semiHidden="0" w:name="index 1"/>
    <w:lsdException w:unhideWhenUsed="0" w:uiPriority="1" w:semiHidden="0" w:name="index 2"/>
    <w:lsdException w:unhideWhenUsed="0" w:uiPriority="1" w:semiHidden="0" w:name="index 3"/>
    <w:lsdException w:unhideWhenUsed="0" w:uiPriority="1" w:semiHidden="0" w:name="index 4"/>
    <w:lsdException w:unhideWhenUsed="0" w:uiPriority="1" w:semiHidden="0" w:name="index 5"/>
    <w:lsdException w:unhideWhenUsed="0" w:uiPriority="1" w:semiHidden="0" w:name="index 6"/>
    <w:lsdException w:unhideWhenUsed="0" w:uiPriority="1" w:semiHidden="0" w:name="index 7"/>
    <w:lsdException w:unhideWhenUsed="0" w:uiPriority="1" w:semiHidden="0" w:name="index 8"/>
    <w:lsdException w:unhideWhenUsed="0" w:uiPriority="1"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unhideWhenUsed="0" w:uiPriority="39" w:semiHidden="0" w:name="toc 7"/>
    <w:lsdException w:unhideWhenUsed="0" w:uiPriority="39" w:semiHidden="0" w:name="toc 8"/>
    <w:lsdException w:qFormat="1" w:unhideWhenUsed="0" w:uiPriority="39" w:semiHidden="0" w:name="toc 9"/>
    <w:lsdException w:unhideWhenUsed="0" w:uiPriority="1" w:semiHidden="0" w:name="Normal Indent"/>
    <w:lsdException w:unhideWhenUsed="0" w:uiPriority="2" w:semiHidden="0" w:name="footnote text"/>
    <w:lsdException w:qFormat="1" w:unhideWhenUsed="0" w:uiPriority="0" w:semiHidden="0" w:name="annotation text"/>
    <w:lsdException w:qFormat="1" w:unhideWhenUsed="0" w:uiPriority="99" w:semiHidden="0" w:name="header"/>
    <w:lsdException w:qFormat="1" w:unhideWhenUsed="0" w:uiPriority="3" w:semiHidden="0" w:name="footer"/>
    <w:lsdException w:unhideWhenUsed="0" w:uiPriority="1" w:semiHidden="0" w:name="index heading"/>
    <w:lsdException w:qFormat="1" w:unhideWhenUsed="0" w:uiPriority="1" w:semiHidden="0" w:name="caption"/>
    <w:lsdException w:unhideWhenUsed="0" w:uiPriority="1" w:semiHidden="0" w:name="table of figures"/>
    <w:lsdException w:unhideWhenUsed="0" w:uiPriority="2" w:semiHidden="0" w:name="envelope address"/>
    <w:lsdException w:unhideWhenUsed="0" w:uiPriority="1" w:semiHidden="0" w:name="envelope return"/>
    <w:lsdException w:unhideWhenUsed="0" w:uiPriority="99" w:semiHidden="0" w:name="footnote reference"/>
    <w:lsdException w:qFormat="1" w:unhideWhenUsed="0" w:uiPriority="0" w:semiHidden="0" w:name="annotation reference"/>
    <w:lsdException w:unhideWhenUsed="0" w:uiPriority="2" w:semiHidden="0" w:name="line number"/>
    <w:lsdException w:unhideWhenUsed="0" w:uiPriority="2" w:semiHidden="0" w:name="page number"/>
    <w:lsdException w:unhideWhenUsed="0" w:uiPriority="2" w:semiHidden="0" w:name="endnote reference"/>
    <w:lsdException w:unhideWhenUsed="0" w:uiPriority="1" w:semiHidden="0" w:name="endnote text"/>
    <w:lsdException w:unhideWhenUsed="0" w:uiPriority="1" w:semiHidden="0" w:name="table of authorities"/>
    <w:lsdException w:unhideWhenUsed="0" w:uiPriority="1" w:semiHidden="0" w:name="macro"/>
    <w:lsdException w:unhideWhenUsed="0" w:uiPriority="1" w:semiHidden="0" w:name="toa heading"/>
    <w:lsdException w:unhideWhenUsed="0" w:uiPriority="1" w:semiHidden="0" w:name="List"/>
    <w:lsdException w:unhideWhenUsed="0" w:uiPriority="1" w:semiHidden="0" w:name="List Bullet"/>
    <w:lsdException w:unhideWhenUsed="0" w:uiPriority="1" w:semiHidden="0" w:name="List Number"/>
    <w:lsdException w:unhideWhenUsed="0" w:uiPriority="1" w:semiHidden="0" w:name="List 2"/>
    <w:lsdException w:unhideWhenUsed="0" w:uiPriority="1" w:semiHidden="0" w:name="List 3"/>
    <w:lsdException w:unhideWhenUsed="0" w:uiPriority="1" w:semiHidden="0" w:name="List 4"/>
    <w:lsdException w:unhideWhenUsed="0" w:uiPriority="1" w:semiHidden="0" w:name="List 5"/>
    <w:lsdException w:unhideWhenUsed="0" w:uiPriority="1" w:semiHidden="0" w:name="List Bullet 2"/>
    <w:lsdException w:unhideWhenUsed="0" w:uiPriority="1" w:semiHidden="0" w:name="List Bullet 3"/>
    <w:lsdException w:unhideWhenUsed="0" w:uiPriority="1" w:semiHidden="0" w:name="List Bullet 4"/>
    <w:lsdException w:unhideWhenUsed="0" w:uiPriority="1" w:semiHidden="0" w:name="List Bullet 5"/>
    <w:lsdException w:unhideWhenUsed="0" w:uiPriority="1" w:semiHidden="0" w:name="List Number 2"/>
    <w:lsdException w:unhideWhenUsed="0" w:uiPriority="1" w:semiHidden="0" w:name="List Number 3"/>
    <w:lsdException w:unhideWhenUsed="0" w:uiPriority="1" w:semiHidden="0" w:name="List Number 4"/>
    <w:lsdException w:unhideWhenUsed="0" w:uiPriority="1" w:semiHidden="0" w:name="List Number 5"/>
    <w:lsdException w:qFormat="1" w:uiPriority="1" w:name="Title"/>
    <w:lsdException w:unhideWhenUsed="0" w:uiPriority="1" w:semiHidden="0" w:name="Closing"/>
    <w:lsdException w:unhideWhenUsed="0" w:uiPriority="1" w:semiHidden="0" w:name="Signature"/>
    <w:lsdException w:qFormat="1" w:uiPriority="1" w:name="Default Paragraph Font"/>
    <w:lsdException w:unhideWhenUsed="0" w:uiPriority="1" w:semiHidden="0" w:name="Body Text"/>
    <w:lsdException w:unhideWhenUsed="0" w:uiPriority="1" w:semiHidden="0" w:name="Body Text Indent"/>
    <w:lsdException w:unhideWhenUsed="0" w:uiPriority="1" w:semiHidden="0" w:name="List Continue"/>
    <w:lsdException w:unhideWhenUsed="0" w:uiPriority="1" w:semiHidden="0" w:name="List Continue 2"/>
    <w:lsdException w:unhideWhenUsed="0" w:uiPriority="1" w:semiHidden="0" w:name="List Continue 3"/>
    <w:lsdException w:unhideWhenUsed="0" w:uiPriority="1" w:semiHidden="0" w:name="List Continue 4"/>
    <w:lsdException w:unhideWhenUsed="0" w:uiPriority="1" w:semiHidden="0" w:name="List Continue 5"/>
    <w:lsdException w:unhideWhenUsed="0" w:uiPriority="1" w:semiHidden="0" w:name="Message Header"/>
    <w:lsdException w:qFormat="1" w:unhideWhenUsed="0" w:uiPriority="1" w:semiHidden="0" w:name="Subtitle"/>
    <w:lsdException w:unhideWhenUsed="0" w:uiPriority="1" w:semiHidden="0" w:name="Salutation"/>
    <w:lsdException w:unhideWhenUsed="0" w:uiPriority="2" w:semiHidden="0" w:name="Date"/>
    <w:lsdException w:unhideWhenUsed="0" w:uiPriority="1" w:semiHidden="0" w:name="Body Text First Indent"/>
    <w:lsdException w:unhideWhenUsed="0" w:uiPriority="1" w:semiHidden="0" w:name="Body Text First Indent 2"/>
    <w:lsdException w:unhideWhenUsed="0" w:uiPriority="1" w:semiHidden="0" w:name="Note Heading"/>
    <w:lsdException w:unhideWhenUsed="0" w:uiPriority="1" w:semiHidden="0" w:name="Body Text 2"/>
    <w:lsdException w:unhideWhenUsed="0" w:uiPriority="1" w:semiHidden="0" w:name="Body Text 3"/>
    <w:lsdException w:unhideWhenUsed="0" w:uiPriority="1" w:semiHidden="0" w:name="Body Text Indent 2"/>
    <w:lsdException w:unhideWhenUsed="0" w:uiPriority="1" w:semiHidden="0" w:name="Body Text Indent 3"/>
    <w:lsdException w:unhideWhenUsed="0" w:uiPriority="1" w:semiHidden="0" w:name="Block Text"/>
    <w:lsdException w:qFormat="1" w:unhideWhenUsed="0" w:uiPriority="99" w:semiHidden="0" w:name="Hyperlink"/>
    <w:lsdException w:unhideWhenUsed="0" w:uiPriority="2" w:semiHidden="0" w:name="FollowedHyperlink"/>
    <w:lsdException w:qFormat="1" w:unhideWhenUsed="0" w:uiPriority="22" w:semiHidden="0" w:name="Strong"/>
    <w:lsdException w:qFormat="1" w:unhideWhenUsed="0" w:uiPriority="2" w:semiHidden="0" w:name="Emphasis"/>
    <w:lsdException w:unhideWhenUsed="0" w:uiPriority="1" w:semiHidden="0" w:name="Document Map"/>
    <w:lsdException w:unhideWhenUsed="0" w:uiPriority="99" w:semiHidden="0" w:name="Plain Text"/>
    <w:lsdException w:unhideWhenUsed="0" w:uiPriority="1" w:semiHidden="0" w:name="E-mail Signature"/>
    <w:lsdException w:qFormat="1" w:unhideWhenUsed="0" w:uiPriority="99" w:semiHidden="0" w:name="Normal (Web)"/>
    <w:lsdException w:unhideWhenUsed="0" w:uiPriority="2" w:semiHidden="0" w:name="HTML Acronym"/>
    <w:lsdException w:unhideWhenUsed="0" w:uiPriority="3" w:semiHidden="0" w:name="HTML Address"/>
    <w:lsdException w:unhideWhenUsed="0" w:uiPriority="2" w:semiHidden="0" w:name="HTML Cite"/>
    <w:lsdException w:unhideWhenUsed="0" w:uiPriority="2" w:semiHidden="0" w:name="HTML Code"/>
    <w:lsdException w:unhideWhenUsed="0" w:uiPriority="2" w:semiHidden="0" w:name="HTML Definition"/>
    <w:lsdException w:unhideWhenUsed="0" w:uiPriority="2" w:semiHidden="0" w:name="HTML Keyboard"/>
    <w:lsdException w:unhideWhenUsed="0" w:uiPriority="1" w:semiHidden="0" w:name="HTML Preformatted"/>
    <w:lsdException w:unhideWhenUsed="0" w:uiPriority="2" w:semiHidden="0" w:name="HTML Sample"/>
    <w:lsdException w:unhideWhenUsed="0" w:uiPriority="2" w:semiHidden="0" w:name="HTML Typewriter"/>
    <w:lsdException w:unhideWhenUsed="0" w:uiPriority="1" w:semiHidden="0" w:name="HTML Variable"/>
    <w:lsdException w:qFormat="1" w:uiPriority="99" w:name="Normal Table"/>
    <w:lsdException w:qFormat="1" w:unhideWhenUsed="0" w:uiPriority="3"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nhideWhenUsed="0" w:uiPriority="0" w:semiHidden="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1" w:semiHidden="0" w:name="Balloon Text"/>
    <w:lsdException w:qFormat="1" w:unhideWhenUsed="0" w:uiPriority="59" w:semiHidden="0" w:name="Table Grid"/>
    <w:lsdException w:uiPriority="0" w:name="Table Theme"/>
    <w:lsdException w:qFormat="1" w:unhideWhenUsed="0" w:uiPriority="99" w:semiHidden="0" w:name="Placeholder Text"/>
    <w:lsdException w:qFormat="1" w:unhideWhenUsed="0" w:uiPriority="34" w:semiHidden="0" w:name="List Paragraph"/>
  </w:latentStyles>
  <w:style w:type="paragraph" w:default="1" w:styleId="1">
    <w:name w:val="Normal"/>
    <w:qFormat/>
    <w:uiPriority w:val="1"/>
    <w:pPr>
      <w:spacing w:line="276" w:lineRule="auto"/>
    </w:pPr>
    <w:rPr>
      <w:rFonts w:ascii="Times New Roman" w:hAnsi="Times New Roman" w:eastAsia="Times New Roman" w:cs="Times New Roman"/>
      <w:sz w:val="24"/>
      <w:szCs w:val="24"/>
      <w:lang w:val="ru-RU" w:eastAsia="ru-RU" w:bidi="ar-SA"/>
    </w:rPr>
  </w:style>
  <w:style w:type="paragraph" w:styleId="2">
    <w:name w:val="heading 1"/>
    <w:basedOn w:val="1"/>
    <w:next w:val="3"/>
    <w:link w:val="44"/>
    <w:unhideWhenUsed/>
    <w:qFormat/>
    <w:uiPriority w:val="1"/>
    <w:pPr>
      <w:keepNext/>
      <w:pageBreakBefore/>
      <w:numPr>
        <w:ilvl w:val="0"/>
        <w:numId w:val="1"/>
      </w:numPr>
      <w:spacing w:before="240" w:after="120" w:line="360" w:lineRule="auto"/>
      <w:jc w:val="center"/>
      <w:outlineLvl w:val="0"/>
    </w:pPr>
    <w:rPr>
      <w:rFonts w:ascii="Arial" w:hAnsi="Arial"/>
      <w:b/>
      <w:bCs/>
      <w:caps/>
      <w:kern w:val="32"/>
      <w:sz w:val="32"/>
      <w:szCs w:val="32"/>
    </w:rPr>
  </w:style>
  <w:style w:type="paragraph" w:styleId="3">
    <w:name w:val="heading 2"/>
    <w:basedOn w:val="1"/>
    <w:next w:val="1"/>
    <w:link w:val="45"/>
    <w:unhideWhenUsed/>
    <w:qFormat/>
    <w:uiPriority w:val="1"/>
    <w:pPr>
      <w:keepNext/>
      <w:spacing w:before="240" w:after="60" w:line="360" w:lineRule="auto"/>
      <w:outlineLvl w:val="1"/>
    </w:pPr>
    <w:rPr>
      <w:rFonts w:ascii="Arial" w:hAnsi="Arial"/>
      <w:b/>
      <w:bCs/>
      <w:iCs/>
      <w:sz w:val="28"/>
      <w:szCs w:val="28"/>
    </w:rPr>
  </w:style>
  <w:style w:type="paragraph" w:styleId="4">
    <w:name w:val="heading 3"/>
    <w:basedOn w:val="1"/>
    <w:next w:val="1"/>
    <w:link w:val="46"/>
    <w:unhideWhenUsed/>
    <w:qFormat/>
    <w:uiPriority w:val="1"/>
    <w:pPr>
      <w:keepNext/>
      <w:numPr>
        <w:ilvl w:val="2"/>
        <w:numId w:val="1"/>
      </w:numPr>
      <w:spacing w:before="240" w:after="60" w:line="360" w:lineRule="auto"/>
      <w:outlineLvl w:val="2"/>
    </w:pPr>
    <w:rPr>
      <w:rFonts w:eastAsia="Arial Unicode MS"/>
      <w:b/>
      <w:bCs/>
      <w:szCs w:val="26"/>
    </w:rPr>
  </w:style>
  <w:style w:type="paragraph" w:styleId="5">
    <w:name w:val="heading 4"/>
    <w:basedOn w:val="1"/>
    <w:next w:val="1"/>
    <w:link w:val="47"/>
    <w:unhideWhenUsed/>
    <w:qFormat/>
    <w:uiPriority w:val="1"/>
    <w:pPr>
      <w:keepNext/>
      <w:numPr>
        <w:ilvl w:val="0"/>
        <w:numId w:val="2"/>
      </w:numPr>
      <w:tabs>
        <w:tab w:val="left" w:pos="2340"/>
      </w:tabs>
      <w:spacing w:before="120" w:after="60" w:line="360" w:lineRule="auto"/>
      <w:outlineLvl w:val="3"/>
    </w:pPr>
    <w:rPr>
      <w:rFonts w:ascii="Arial" w:hAnsi="Arial"/>
      <w:b/>
      <w:bCs/>
      <w:sz w:val="22"/>
      <w:szCs w:val="28"/>
    </w:rPr>
  </w:style>
  <w:style w:type="paragraph" w:styleId="6">
    <w:name w:val="heading 5"/>
    <w:basedOn w:val="1"/>
    <w:next w:val="1"/>
    <w:link w:val="48"/>
    <w:unhideWhenUsed/>
    <w:qFormat/>
    <w:uiPriority w:val="1"/>
    <w:pPr>
      <w:numPr>
        <w:ilvl w:val="4"/>
        <w:numId w:val="3"/>
      </w:numPr>
      <w:tabs>
        <w:tab w:val="left" w:pos="2160"/>
        <w:tab w:val="left" w:pos="2340"/>
        <w:tab w:val="clear" w:pos="3600"/>
      </w:tabs>
      <w:spacing w:before="120" w:after="60" w:line="360" w:lineRule="auto"/>
      <w:ind w:left="720" w:firstLine="0"/>
      <w:outlineLvl w:val="4"/>
    </w:pPr>
    <w:rPr>
      <w:rFonts w:ascii="Arial" w:hAnsi="Arial"/>
      <w:b/>
      <w:bCs/>
      <w:iCs/>
      <w:sz w:val="22"/>
      <w:szCs w:val="26"/>
    </w:rPr>
  </w:style>
  <w:style w:type="paragraph" w:styleId="7">
    <w:name w:val="heading 6"/>
    <w:basedOn w:val="1"/>
    <w:next w:val="1"/>
    <w:link w:val="49"/>
    <w:unhideWhenUsed/>
    <w:qFormat/>
    <w:uiPriority w:val="1"/>
    <w:pPr>
      <w:keepNext/>
      <w:numPr>
        <w:ilvl w:val="5"/>
        <w:numId w:val="1"/>
      </w:numPr>
      <w:spacing w:before="120" w:after="60" w:line="360" w:lineRule="auto"/>
      <w:outlineLvl w:val="5"/>
    </w:pPr>
    <w:rPr>
      <w:rFonts w:ascii="Arial" w:hAnsi="Arial"/>
      <w:b/>
      <w:bCs/>
      <w:sz w:val="22"/>
    </w:rPr>
  </w:style>
  <w:style w:type="paragraph" w:styleId="8">
    <w:name w:val="heading 7"/>
    <w:basedOn w:val="1"/>
    <w:next w:val="1"/>
    <w:link w:val="50"/>
    <w:unhideWhenUsed/>
    <w:qFormat/>
    <w:uiPriority w:val="1"/>
    <w:pPr>
      <w:numPr>
        <w:ilvl w:val="6"/>
        <w:numId w:val="1"/>
      </w:numPr>
      <w:suppressAutoHyphens/>
      <w:spacing w:before="120" w:after="60" w:line="360" w:lineRule="auto"/>
      <w:outlineLvl w:val="6"/>
    </w:pPr>
    <w:rPr>
      <w:rFonts w:ascii="Arial" w:hAnsi="Arial"/>
      <w:b/>
      <w:bCs/>
      <w:sz w:val="22"/>
      <w:szCs w:val="20"/>
    </w:rPr>
  </w:style>
  <w:style w:type="paragraph" w:styleId="9">
    <w:name w:val="heading 8"/>
    <w:basedOn w:val="1"/>
    <w:next w:val="1"/>
    <w:link w:val="51"/>
    <w:unhideWhenUsed/>
    <w:qFormat/>
    <w:uiPriority w:val="1"/>
    <w:pPr>
      <w:numPr>
        <w:ilvl w:val="7"/>
        <w:numId w:val="1"/>
      </w:numPr>
      <w:suppressAutoHyphens/>
      <w:spacing w:before="120" w:after="60" w:line="360" w:lineRule="auto"/>
      <w:outlineLvl w:val="7"/>
    </w:pPr>
    <w:rPr>
      <w:rFonts w:ascii="Arial" w:hAnsi="Arial"/>
      <w:b/>
      <w:sz w:val="22"/>
      <w:szCs w:val="20"/>
    </w:rPr>
  </w:style>
  <w:style w:type="paragraph" w:styleId="10">
    <w:name w:val="heading 9"/>
    <w:basedOn w:val="1"/>
    <w:next w:val="1"/>
    <w:link w:val="52"/>
    <w:unhideWhenUsed/>
    <w:qFormat/>
    <w:uiPriority w:val="1"/>
    <w:pPr>
      <w:numPr>
        <w:ilvl w:val="8"/>
        <w:numId w:val="1"/>
      </w:numPr>
      <w:suppressAutoHyphens/>
      <w:spacing w:before="120" w:after="60" w:line="360" w:lineRule="auto"/>
      <w:outlineLvl w:val="8"/>
    </w:pPr>
    <w:rPr>
      <w:rFonts w:ascii="Arial" w:hAnsi="Arial"/>
      <w:b/>
      <w:sz w:val="22"/>
      <w:szCs w:val="20"/>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character" w:styleId="13">
    <w:name w:val="footnote reference"/>
    <w:basedOn w:val="11"/>
    <w:uiPriority w:val="99"/>
    <w:rPr>
      <w:vertAlign w:val="superscript"/>
    </w:rPr>
  </w:style>
  <w:style w:type="character" w:styleId="14">
    <w:name w:val="annotation reference"/>
    <w:basedOn w:val="11"/>
    <w:qFormat/>
    <w:uiPriority w:val="0"/>
    <w:rPr>
      <w:sz w:val="16"/>
      <w:szCs w:val="16"/>
    </w:rPr>
  </w:style>
  <w:style w:type="character" w:styleId="15">
    <w:name w:val="Hyperlink"/>
    <w:basedOn w:val="11"/>
    <w:qFormat/>
    <w:uiPriority w:val="99"/>
    <w:rPr>
      <w:color w:val="0563C1" w:themeColor="hyperlink"/>
      <w:u w:val="single"/>
      <w14:textFill>
        <w14:solidFill>
          <w14:schemeClr w14:val="hlink"/>
        </w14:solidFill>
      </w14:textFill>
    </w:rPr>
  </w:style>
  <w:style w:type="character" w:styleId="16">
    <w:name w:val="Strong"/>
    <w:basedOn w:val="11"/>
    <w:qFormat/>
    <w:uiPriority w:val="22"/>
    <w:rPr>
      <w:b/>
      <w:bCs/>
    </w:rPr>
  </w:style>
  <w:style w:type="paragraph" w:styleId="17">
    <w:name w:val="caption"/>
    <w:basedOn w:val="1"/>
    <w:next w:val="1"/>
    <w:qFormat/>
    <w:uiPriority w:val="1"/>
    <w:pPr>
      <w:spacing w:after="200" w:line="240" w:lineRule="auto"/>
    </w:pPr>
    <w:rPr>
      <w:i/>
      <w:iCs/>
      <w:color w:val="44546A" w:themeColor="text2"/>
      <w:sz w:val="18"/>
      <w:szCs w:val="18"/>
      <w14:textFill>
        <w14:solidFill>
          <w14:schemeClr w14:val="tx2"/>
        </w14:solidFill>
      </w14:textFill>
    </w:rPr>
  </w:style>
  <w:style w:type="paragraph" w:styleId="18">
    <w:name w:val="annotation text"/>
    <w:basedOn w:val="1"/>
    <w:link w:val="35"/>
    <w:qFormat/>
    <w:uiPriority w:val="0"/>
    <w:pPr>
      <w:spacing w:line="240" w:lineRule="auto"/>
    </w:pPr>
    <w:rPr>
      <w:sz w:val="20"/>
      <w:szCs w:val="20"/>
    </w:rPr>
  </w:style>
  <w:style w:type="paragraph" w:styleId="19">
    <w:name w:val="annotation subject"/>
    <w:basedOn w:val="1"/>
    <w:next w:val="1"/>
    <w:link w:val="54"/>
    <w:qFormat/>
    <w:uiPriority w:val="3"/>
    <w:pPr>
      <w:spacing w:line="240" w:lineRule="auto"/>
    </w:pPr>
    <w:rPr>
      <w:b/>
      <w:bCs/>
      <w:sz w:val="20"/>
      <w:szCs w:val="20"/>
    </w:rPr>
  </w:style>
  <w:style w:type="paragraph" w:styleId="20">
    <w:name w:val="footnote text"/>
    <w:basedOn w:val="1"/>
    <w:link w:val="65"/>
    <w:uiPriority w:val="2"/>
    <w:pPr>
      <w:spacing w:line="240" w:lineRule="auto"/>
    </w:pPr>
    <w:rPr>
      <w:sz w:val="20"/>
      <w:szCs w:val="20"/>
    </w:rPr>
  </w:style>
  <w:style w:type="paragraph" w:styleId="21">
    <w:name w:val="toc 8"/>
    <w:basedOn w:val="1"/>
    <w:next w:val="1"/>
    <w:autoRedefine/>
    <w:uiPriority w:val="39"/>
    <w:pPr>
      <w:pBdr>
        <w:between w:val="double" w:color="auto" w:sz="6" w:space="0"/>
      </w:pBdr>
      <w:spacing w:before="120" w:line="360" w:lineRule="auto"/>
      <w:ind w:left="1200" w:firstLine="567"/>
      <w:contextualSpacing/>
    </w:pPr>
    <w:rPr>
      <w:rFonts w:ascii="Arial" w:hAnsi="Arial"/>
      <w:sz w:val="20"/>
      <w:lang w:val="en-US"/>
    </w:rPr>
  </w:style>
  <w:style w:type="paragraph" w:styleId="22">
    <w:name w:val="header"/>
    <w:basedOn w:val="1"/>
    <w:link w:val="59"/>
    <w:qFormat/>
    <w:uiPriority w:val="99"/>
    <w:pPr>
      <w:tabs>
        <w:tab w:val="center" w:pos="4677"/>
        <w:tab w:val="right" w:pos="9355"/>
      </w:tabs>
    </w:pPr>
  </w:style>
  <w:style w:type="paragraph" w:styleId="23">
    <w:name w:val="toc 9"/>
    <w:basedOn w:val="1"/>
    <w:next w:val="1"/>
    <w:autoRedefine/>
    <w:qFormat/>
    <w:uiPriority w:val="39"/>
    <w:pPr>
      <w:pBdr>
        <w:between w:val="double" w:color="auto" w:sz="6" w:space="0"/>
      </w:pBdr>
      <w:spacing w:before="120" w:line="360" w:lineRule="auto"/>
      <w:ind w:left="1400" w:firstLine="567"/>
      <w:contextualSpacing/>
    </w:pPr>
    <w:rPr>
      <w:rFonts w:ascii="Arial" w:hAnsi="Arial"/>
      <w:sz w:val="18"/>
      <w:lang w:val="en-US"/>
    </w:rPr>
  </w:style>
  <w:style w:type="paragraph" w:styleId="24">
    <w:name w:val="toc 7"/>
    <w:basedOn w:val="1"/>
    <w:next w:val="1"/>
    <w:autoRedefine/>
    <w:uiPriority w:val="39"/>
    <w:pPr>
      <w:pBdr>
        <w:between w:val="double" w:color="auto" w:sz="6" w:space="0"/>
      </w:pBdr>
      <w:spacing w:before="120" w:line="360" w:lineRule="auto"/>
      <w:contextualSpacing/>
    </w:pPr>
    <w:rPr>
      <w:rFonts w:ascii="Arial" w:hAnsi="Arial"/>
      <w:sz w:val="20"/>
      <w:lang w:val="en-US"/>
    </w:rPr>
  </w:style>
  <w:style w:type="paragraph" w:styleId="25">
    <w:name w:val="toc 1"/>
    <w:next w:val="1"/>
    <w:autoRedefine/>
    <w:qFormat/>
    <w:uiPriority w:val="39"/>
    <w:pPr>
      <w:tabs>
        <w:tab w:val="right" w:leader="dot" w:pos="9911"/>
      </w:tabs>
      <w:spacing w:line="276" w:lineRule="auto"/>
      <w:ind w:left="284" w:hanging="284"/>
    </w:pPr>
    <w:rPr>
      <w:rFonts w:ascii="PT Astra Serif" w:hAnsi="PT Astra Serif" w:eastAsia="Times New Roman" w:cs="Times New Roman"/>
      <w:bCs/>
      <w:iCs/>
      <w:sz w:val="24"/>
      <w:szCs w:val="24"/>
      <w:lang w:val="en-US" w:eastAsia="ru-RU" w:bidi="ar-SA"/>
    </w:rPr>
  </w:style>
  <w:style w:type="paragraph" w:styleId="26">
    <w:name w:val="toc 6"/>
    <w:basedOn w:val="1"/>
    <w:next w:val="1"/>
    <w:autoRedefine/>
    <w:qFormat/>
    <w:uiPriority w:val="39"/>
    <w:pPr>
      <w:pBdr>
        <w:between w:val="double" w:color="auto" w:sz="6" w:space="0"/>
      </w:pBdr>
      <w:spacing w:before="120" w:line="360" w:lineRule="auto"/>
      <w:ind w:left="800" w:firstLine="567"/>
      <w:contextualSpacing/>
    </w:pPr>
    <w:rPr>
      <w:rFonts w:ascii="Arial" w:hAnsi="Arial"/>
      <w:sz w:val="20"/>
      <w:lang w:val="en-US"/>
    </w:rPr>
  </w:style>
  <w:style w:type="paragraph" w:styleId="27">
    <w:name w:val="toc 3"/>
    <w:basedOn w:val="1"/>
    <w:next w:val="1"/>
    <w:autoRedefine/>
    <w:qFormat/>
    <w:uiPriority w:val="39"/>
    <w:pPr>
      <w:tabs>
        <w:tab w:val="right" w:leader="dot" w:pos="9911"/>
      </w:tabs>
      <w:ind w:left="1077" w:hanging="510"/>
      <w:contextualSpacing/>
    </w:pPr>
    <w:rPr>
      <w:rFonts w:ascii="PT Astra Serif" w:hAnsi="PT Astra Serif"/>
      <w:iCs/>
      <w:lang w:val="en-US"/>
    </w:rPr>
  </w:style>
  <w:style w:type="paragraph" w:styleId="28">
    <w:name w:val="toc 2"/>
    <w:next w:val="1"/>
    <w:autoRedefine/>
    <w:qFormat/>
    <w:uiPriority w:val="39"/>
    <w:pPr>
      <w:tabs>
        <w:tab w:val="right" w:leader="dot" w:pos="9628"/>
      </w:tabs>
      <w:spacing w:line="276" w:lineRule="auto"/>
      <w:ind w:left="681" w:right="57" w:hanging="284"/>
    </w:pPr>
    <w:rPr>
      <w:rFonts w:ascii="PT Astra Serif" w:hAnsi="PT Astra Serif" w:eastAsia="Times New Roman" w:cs="Times New Roman"/>
      <w:iCs/>
      <w:sz w:val="24"/>
      <w:szCs w:val="24"/>
      <w:lang w:val="en-US" w:eastAsia="ru-RU" w:bidi="ar-SA"/>
    </w:rPr>
  </w:style>
  <w:style w:type="paragraph" w:styleId="29">
    <w:name w:val="toc 4"/>
    <w:basedOn w:val="1"/>
    <w:next w:val="1"/>
    <w:autoRedefine/>
    <w:qFormat/>
    <w:uiPriority w:val="39"/>
    <w:pPr>
      <w:ind w:left="1588" w:hanging="1588"/>
    </w:pPr>
    <w:rPr>
      <w:rFonts w:ascii="PT Astra Serif" w:hAnsi="PT Astra Serif"/>
    </w:rPr>
  </w:style>
  <w:style w:type="paragraph" w:styleId="30">
    <w:name w:val="toc 5"/>
    <w:next w:val="1"/>
    <w:autoRedefine/>
    <w:qFormat/>
    <w:uiPriority w:val="39"/>
    <w:pPr>
      <w:pBdr>
        <w:between w:val="double" w:color="auto" w:sz="6" w:space="1"/>
      </w:pBdr>
      <w:spacing w:line="276" w:lineRule="auto"/>
      <w:ind w:right="397"/>
    </w:pPr>
    <w:rPr>
      <w:rFonts w:ascii="Times New Roman" w:hAnsi="Times New Roman" w:eastAsia="Times New Roman" w:cs="Times New Roman"/>
      <w:sz w:val="24"/>
      <w:szCs w:val="24"/>
      <w:lang w:val="en-US" w:eastAsia="ru-RU" w:bidi="ar-SA"/>
    </w:rPr>
  </w:style>
  <w:style w:type="paragraph" w:styleId="31">
    <w:name w:val="footer"/>
    <w:basedOn w:val="1"/>
    <w:link w:val="56"/>
    <w:qFormat/>
    <w:uiPriority w:val="3"/>
    <w:pPr>
      <w:tabs>
        <w:tab w:val="center" w:pos="4677"/>
        <w:tab w:val="right" w:pos="9355"/>
      </w:tabs>
      <w:spacing w:line="240" w:lineRule="auto"/>
    </w:pPr>
  </w:style>
  <w:style w:type="paragraph" w:styleId="32">
    <w:name w:val="Normal (Web)"/>
    <w:basedOn w:val="1"/>
    <w:qFormat/>
    <w:uiPriority w:val="99"/>
    <w:pPr>
      <w:spacing w:before="100" w:beforeAutospacing="1" w:after="100" w:afterAutospacing="1" w:line="240" w:lineRule="auto"/>
    </w:pPr>
  </w:style>
  <w:style w:type="table" w:styleId="33">
    <w:name w:val="Table Grid 1"/>
    <w:basedOn w:val="12"/>
    <w:uiPriority w:val="0"/>
    <w:pPr>
      <w:spacing w:line="240" w:lineRule="auto"/>
      <w:jc w:val="both"/>
    </w:pPr>
    <w:rPr>
      <w:rFonts w:eastAsia="SimSun"/>
      <w:sz w:val="20"/>
      <w:szCs w:val="20"/>
      <w:lang w:eastAsia="zh-C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styleId="34">
    <w:name w:val="Table Grid"/>
    <w:basedOn w:val="12"/>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5">
    <w:name w:val="Текст примечания Знак"/>
    <w:basedOn w:val="11"/>
    <w:link w:val="18"/>
    <w:qFormat/>
    <w:uiPriority w:val="0"/>
    <w:rPr>
      <w:sz w:val="20"/>
      <w:szCs w:val="20"/>
    </w:rPr>
  </w:style>
  <w:style w:type="paragraph" w:customStyle="1" w:styleId="36">
    <w:name w:val="_РТК_Приложение"/>
    <w:link w:val="42"/>
    <w:qFormat/>
    <w:uiPriority w:val="0"/>
    <w:pPr>
      <w:pageBreakBefore/>
      <w:numPr>
        <w:ilvl w:val="0"/>
        <w:numId w:val="4"/>
      </w:numPr>
      <w:spacing w:before="360" w:after="240" w:line="276" w:lineRule="auto"/>
      <w:jc w:val="center"/>
      <w:outlineLvl w:val="0"/>
    </w:pPr>
    <w:rPr>
      <w:rFonts w:ascii="PT Astra Serif" w:hAnsi="PT Astra Serif" w:eastAsia="Times New Roman" w:cs="Times New Roman"/>
      <w:b/>
      <w:snapToGrid w:val="0"/>
      <w:kern w:val="2"/>
      <w:sz w:val="28"/>
      <w:szCs w:val="24"/>
      <w:lang w:val="ru-RU" w:eastAsia="ru-RU" w:bidi="ar-SA"/>
      <w14:ligatures w14:val="standardContextual"/>
    </w:rPr>
  </w:style>
  <w:style w:type="paragraph" w:customStyle="1" w:styleId="37">
    <w:name w:val="_РТК_Приложение_А.1"/>
    <w:qFormat/>
    <w:uiPriority w:val="0"/>
    <w:pPr>
      <w:keepNext/>
      <w:numPr>
        <w:ilvl w:val="1"/>
        <w:numId w:val="4"/>
      </w:numPr>
      <w:suppressAutoHyphens/>
      <w:spacing w:before="240" w:after="240" w:line="276" w:lineRule="auto"/>
      <w:jc w:val="both"/>
      <w:outlineLvl w:val="1"/>
    </w:pPr>
    <w:rPr>
      <w:rFonts w:ascii="PT Astra Serif" w:hAnsi="PT Astra Serif" w:eastAsia="Times New Roman" w:cs="Times New Roman"/>
      <w:b/>
      <w:kern w:val="28"/>
      <w:sz w:val="28"/>
      <w:szCs w:val="32"/>
      <w:lang w:val="ru-RU" w:eastAsia="en-US" w:bidi="ar-SA"/>
    </w:rPr>
  </w:style>
  <w:style w:type="paragraph" w:customStyle="1" w:styleId="38">
    <w:name w:val="_РТК_Приложение_А.1.1"/>
    <w:link w:val="43"/>
    <w:qFormat/>
    <w:uiPriority w:val="0"/>
    <w:pPr>
      <w:keepNext/>
      <w:numPr>
        <w:ilvl w:val="2"/>
        <w:numId w:val="4"/>
      </w:numPr>
      <w:suppressAutoHyphens/>
      <w:spacing w:before="120" w:after="60" w:line="276" w:lineRule="auto"/>
      <w:jc w:val="both"/>
      <w:outlineLvl w:val="2"/>
    </w:pPr>
    <w:rPr>
      <w:rFonts w:ascii="PT Astra Serif" w:hAnsi="PT Astra Serif" w:eastAsia="Times New Roman" w:cs="Times New Roman"/>
      <w:kern w:val="28"/>
      <w:sz w:val="24"/>
      <w:szCs w:val="32"/>
      <w:lang w:val="ru-RU" w:eastAsia="en-US" w:bidi="ar-SA"/>
      <w14:ligatures w14:val="standardContextual"/>
    </w:rPr>
  </w:style>
  <w:style w:type="paragraph" w:customStyle="1" w:styleId="39">
    <w:name w:val="_РТК_Приложение_А.1.1.1"/>
    <w:qFormat/>
    <w:uiPriority w:val="0"/>
    <w:pPr>
      <w:numPr>
        <w:ilvl w:val="3"/>
        <w:numId w:val="4"/>
      </w:numPr>
      <w:suppressAutoHyphens/>
      <w:spacing w:before="120" w:line="276" w:lineRule="auto"/>
      <w:jc w:val="both"/>
      <w:outlineLvl w:val="3"/>
    </w:pPr>
    <w:rPr>
      <w:rFonts w:ascii="PT Astra Serif" w:hAnsi="PT Astra Serif" w:eastAsia="Times New Roman" w:cs="Times New Roman"/>
      <w:kern w:val="28"/>
      <w:sz w:val="24"/>
      <w:szCs w:val="32"/>
      <w:lang w:val="ru-RU" w:eastAsia="en-US" w:bidi="ar-SA"/>
    </w:rPr>
  </w:style>
  <w:style w:type="paragraph" w:customStyle="1" w:styleId="40">
    <w:name w:val="_РТК_Приложение_А.1.1.1.1"/>
    <w:qFormat/>
    <w:uiPriority w:val="0"/>
    <w:pPr>
      <w:numPr>
        <w:ilvl w:val="4"/>
        <w:numId w:val="4"/>
      </w:numPr>
      <w:suppressAutoHyphens/>
      <w:spacing w:line="276" w:lineRule="auto"/>
      <w:jc w:val="both"/>
      <w:outlineLvl w:val="4"/>
    </w:pPr>
    <w:rPr>
      <w:rFonts w:ascii="PT Astra Serif" w:hAnsi="PT Astra Serif" w:eastAsia="Times New Roman" w:cs="Times New Roman"/>
      <w:kern w:val="2"/>
      <w:sz w:val="24"/>
      <w:szCs w:val="32"/>
      <w:lang w:val="ru-RU" w:eastAsia="en-US" w:bidi="ar-SA"/>
    </w:rPr>
  </w:style>
  <w:style w:type="paragraph" w:customStyle="1" w:styleId="41">
    <w:name w:val="_РТК_сноска"/>
    <w:qFormat/>
    <w:uiPriority w:val="0"/>
    <w:pPr>
      <w:spacing w:line="240" w:lineRule="auto"/>
      <w:ind w:firstLine="709"/>
      <w:jc w:val="both"/>
    </w:pPr>
    <w:rPr>
      <w:rFonts w:ascii="PT Astra Serif" w:hAnsi="PT Astra Serif" w:eastAsia="Times New Roman" w:cs="Times New Roman"/>
      <w:sz w:val="22"/>
      <w:szCs w:val="24"/>
      <w:lang w:val="ru-RU" w:eastAsia="ru-RU" w:bidi="ar-SA"/>
    </w:rPr>
  </w:style>
  <w:style w:type="character" w:customStyle="1" w:styleId="42">
    <w:name w:val="_РТК_Приложение Знак"/>
    <w:basedOn w:val="11"/>
    <w:link w:val="36"/>
    <w:qFormat/>
    <w:uiPriority w:val="0"/>
    <w:rPr>
      <w:rFonts w:ascii="PT Astra Serif" w:hAnsi="PT Astra Serif"/>
      <w:b/>
      <w:snapToGrid w:val="0"/>
      <w:kern w:val="2"/>
      <w:sz w:val="28"/>
      <w14:ligatures w14:val="standardContextual"/>
    </w:rPr>
  </w:style>
  <w:style w:type="character" w:customStyle="1" w:styleId="43">
    <w:name w:val="_РТК_Приложение_А.1.1 Знак"/>
    <w:basedOn w:val="11"/>
    <w:link w:val="38"/>
    <w:qFormat/>
    <w:uiPriority w:val="0"/>
    <w:rPr>
      <w:rFonts w:ascii="PT Astra Serif" w:hAnsi="PT Astra Serif"/>
      <w:kern w:val="28"/>
      <w:szCs w:val="32"/>
      <w:lang w:eastAsia="en-US"/>
      <w14:ligatures w14:val="standardContextual"/>
    </w:rPr>
  </w:style>
  <w:style w:type="character" w:customStyle="1" w:styleId="44">
    <w:name w:val="Заголовок 1 Знак"/>
    <w:link w:val="2"/>
    <w:qFormat/>
    <w:uiPriority w:val="1"/>
    <w:rPr>
      <w:rFonts w:ascii="Arial" w:hAnsi="Arial"/>
      <w:b/>
      <w:bCs/>
      <w:caps/>
      <w:kern w:val="32"/>
      <w:sz w:val="32"/>
      <w:szCs w:val="32"/>
    </w:rPr>
  </w:style>
  <w:style w:type="character" w:customStyle="1" w:styleId="45">
    <w:name w:val="Заголовок 2 Знак"/>
    <w:link w:val="3"/>
    <w:uiPriority w:val="1"/>
    <w:rPr>
      <w:rFonts w:ascii="Arial" w:hAnsi="Arial"/>
      <w:b/>
      <w:bCs/>
      <w:iCs/>
      <w:sz w:val="28"/>
      <w:szCs w:val="28"/>
    </w:rPr>
  </w:style>
  <w:style w:type="character" w:customStyle="1" w:styleId="46">
    <w:name w:val="Заголовок 3 Знак"/>
    <w:link w:val="4"/>
    <w:uiPriority w:val="1"/>
    <w:rPr>
      <w:rFonts w:eastAsia="Arial Unicode MS"/>
      <w:b/>
      <w:bCs/>
      <w:szCs w:val="26"/>
    </w:rPr>
  </w:style>
  <w:style w:type="character" w:customStyle="1" w:styleId="47">
    <w:name w:val="Заголовок 4 Знак"/>
    <w:link w:val="5"/>
    <w:qFormat/>
    <w:uiPriority w:val="1"/>
    <w:rPr>
      <w:rFonts w:ascii="Arial" w:hAnsi="Arial"/>
      <w:b/>
      <w:bCs/>
      <w:sz w:val="22"/>
      <w:szCs w:val="28"/>
    </w:rPr>
  </w:style>
  <w:style w:type="character" w:customStyle="1" w:styleId="48">
    <w:name w:val="Заголовок 5 Знак"/>
    <w:link w:val="6"/>
    <w:uiPriority w:val="1"/>
    <w:rPr>
      <w:rFonts w:ascii="Arial" w:hAnsi="Arial"/>
      <w:b/>
      <w:bCs/>
      <w:iCs/>
      <w:sz w:val="22"/>
      <w:szCs w:val="26"/>
    </w:rPr>
  </w:style>
  <w:style w:type="character" w:customStyle="1" w:styleId="49">
    <w:name w:val="Заголовок 6 Знак"/>
    <w:link w:val="7"/>
    <w:qFormat/>
    <w:uiPriority w:val="1"/>
    <w:rPr>
      <w:rFonts w:ascii="Arial" w:hAnsi="Arial"/>
      <w:b/>
      <w:bCs/>
      <w:sz w:val="22"/>
    </w:rPr>
  </w:style>
  <w:style w:type="character" w:customStyle="1" w:styleId="50">
    <w:name w:val="Заголовок 7 Знак"/>
    <w:link w:val="8"/>
    <w:uiPriority w:val="1"/>
    <w:rPr>
      <w:rFonts w:ascii="Arial" w:hAnsi="Arial"/>
      <w:b/>
      <w:bCs/>
      <w:sz w:val="22"/>
      <w:szCs w:val="20"/>
    </w:rPr>
  </w:style>
  <w:style w:type="character" w:customStyle="1" w:styleId="51">
    <w:name w:val="Заголовок 8 Знак"/>
    <w:link w:val="9"/>
    <w:uiPriority w:val="1"/>
    <w:rPr>
      <w:rFonts w:ascii="Arial" w:hAnsi="Arial"/>
      <w:b/>
      <w:sz w:val="22"/>
      <w:szCs w:val="20"/>
    </w:rPr>
  </w:style>
  <w:style w:type="character" w:customStyle="1" w:styleId="52">
    <w:name w:val="Заголовок 9 Знак"/>
    <w:link w:val="10"/>
    <w:uiPriority w:val="1"/>
    <w:rPr>
      <w:rFonts w:ascii="Arial" w:hAnsi="Arial"/>
      <w:b/>
      <w:sz w:val="22"/>
      <w:szCs w:val="20"/>
    </w:rPr>
  </w:style>
  <w:style w:type="paragraph" w:customStyle="1" w:styleId="53">
    <w:name w:val="Revision"/>
    <w:hidden/>
    <w:semiHidden/>
    <w:qFormat/>
    <w:uiPriority w:val="99"/>
    <w:pPr>
      <w:spacing w:line="276" w:lineRule="auto"/>
    </w:pPr>
    <w:rPr>
      <w:rFonts w:ascii="Bookman Old Style" w:hAnsi="Bookman Old Style" w:eastAsia="Times New Roman" w:cs="Times New Roman"/>
      <w:sz w:val="24"/>
      <w:szCs w:val="24"/>
      <w:lang w:val="ru-RU" w:eastAsia="ru-RU" w:bidi="ar-SA"/>
    </w:rPr>
  </w:style>
  <w:style w:type="character" w:customStyle="1" w:styleId="54">
    <w:name w:val="Тема примечания Знак"/>
    <w:basedOn w:val="11"/>
    <w:link w:val="19"/>
    <w:qFormat/>
    <w:uiPriority w:val="3"/>
    <w:rPr>
      <w:b/>
      <w:bCs/>
      <w:sz w:val="20"/>
      <w:szCs w:val="20"/>
    </w:rPr>
  </w:style>
  <w:style w:type="paragraph" w:customStyle="1" w:styleId="55">
    <w:name w:val="_РТК_Заголовок_б/н"/>
    <w:qFormat/>
    <w:uiPriority w:val="0"/>
    <w:pPr>
      <w:keepNext/>
      <w:pageBreakBefore/>
      <w:suppressAutoHyphens/>
      <w:spacing w:before="240" w:after="360" w:line="276" w:lineRule="auto"/>
      <w:jc w:val="center"/>
    </w:pPr>
    <w:rPr>
      <w:rFonts w:ascii="PT Astra Serif" w:hAnsi="PT Astra Serif" w:eastAsia="Times New Roman" w:cs="Times New Roman"/>
      <w:b/>
      <w:bCs/>
      <w:sz w:val="28"/>
      <w:szCs w:val="24"/>
      <w:lang w:val="ru-RU" w:eastAsia="ru-RU" w:bidi="ar-SA"/>
    </w:rPr>
  </w:style>
  <w:style w:type="character" w:customStyle="1" w:styleId="56">
    <w:name w:val="Нижний колонтитул Знак"/>
    <w:basedOn w:val="11"/>
    <w:link w:val="31"/>
    <w:qFormat/>
    <w:uiPriority w:val="3"/>
  </w:style>
  <w:style w:type="paragraph" w:customStyle="1" w:styleId="57">
    <w:name w:val="_РТК_1"/>
    <w:next w:val="1"/>
    <w:qFormat/>
    <w:uiPriority w:val="0"/>
    <w:pPr>
      <w:keepNext/>
      <w:pageBreakBefore/>
      <w:numPr>
        <w:ilvl w:val="0"/>
        <w:numId w:val="5"/>
      </w:numPr>
      <w:suppressAutoHyphens/>
      <w:spacing w:before="480" w:after="240" w:line="276" w:lineRule="auto"/>
      <w:jc w:val="both"/>
      <w:outlineLvl w:val="0"/>
    </w:pPr>
    <w:rPr>
      <w:rFonts w:ascii="PT Astra Serif" w:hAnsi="PT Astra Serif" w:eastAsia="Times New Roman" w:cs="Times New Roman"/>
      <w:b/>
      <w:sz w:val="28"/>
      <w:szCs w:val="28"/>
      <w:shd w:val="clear" w:color="auto" w:fill="FFFFFF"/>
      <w:lang w:val="ru-RU" w:eastAsia="ru-RU" w:bidi="ar-SA"/>
    </w:rPr>
  </w:style>
  <w:style w:type="paragraph" w:customStyle="1" w:styleId="58">
    <w:name w:val="_РТК_1.1"/>
    <w:qFormat/>
    <w:uiPriority w:val="0"/>
    <w:pPr>
      <w:keepNext/>
      <w:numPr>
        <w:ilvl w:val="1"/>
        <w:numId w:val="5"/>
      </w:numPr>
      <w:suppressAutoHyphens/>
      <w:spacing w:before="240" w:after="120" w:line="276" w:lineRule="auto"/>
      <w:jc w:val="both"/>
      <w:outlineLvl w:val="1"/>
    </w:pPr>
    <w:rPr>
      <w:rFonts w:ascii="PT Astra Serif" w:hAnsi="PT Astra Serif" w:eastAsia="Times New Roman" w:cs="Times New Roman"/>
      <w:b/>
      <w:sz w:val="26"/>
      <w:szCs w:val="28"/>
      <w:shd w:val="clear" w:color="auto" w:fill="FFFFFF"/>
      <w:lang w:val="ru-RU" w:eastAsia="ru-RU" w:bidi="ar-SA"/>
    </w:rPr>
  </w:style>
  <w:style w:type="character" w:customStyle="1" w:styleId="59">
    <w:name w:val="Верхний колонтитул Знак"/>
    <w:basedOn w:val="11"/>
    <w:link w:val="22"/>
    <w:qFormat/>
    <w:uiPriority w:val="99"/>
  </w:style>
  <w:style w:type="paragraph" w:customStyle="1" w:styleId="60">
    <w:name w:val="_РТК_1.1.1"/>
    <w:qFormat/>
    <w:uiPriority w:val="0"/>
    <w:pPr>
      <w:keepNext/>
      <w:numPr>
        <w:ilvl w:val="2"/>
        <w:numId w:val="5"/>
      </w:numPr>
      <w:suppressAutoHyphens/>
      <w:spacing w:before="120" w:line="276" w:lineRule="auto"/>
      <w:jc w:val="both"/>
      <w:outlineLvl w:val="2"/>
    </w:pPr>
    <w:rPr>
      <w:rFonts w:ascii="PT Astra Serif" w:hAnsi="PT Astra Serif" w:eastAsia="Times New Roman" w:cs="Times New Roman"/>
      <w:sz w:val="24"/>
      <w:szCs w:val="28"/>
      <w:shd w:val="clear" w:color="auto" w:fill="FFFFFF"/>
      <w:lang w:val="ru-RU" w:eastAsia="ru-RU" w:bidi="ar-SA"/>
    </w:rPr>
  </w:style>
  <w:style w:type="paragraph" w:customStyle="1" w:styleId="61">
    <w:name w:val="_РТК_1.1.1.1"/>
    <w:qFormat/>
    <w:uiPriority w:val="0"/>
    <w:pPr>
      <w:keepNext/>
      <w:numPr>
        <w:ilvl w:val="3"/>
        <w:numId w:val="5"/>
      </w:numPr>
      <w:suppressAutoHyphens/>
      <w:spacing w:before="120" w:after="60" w:line="276" w:lineRule="auto"/>
      <w:jc w:val="both"/>
      <w:outlineLvl w:val="3"/>
    </w:pPr>
    <w:rPr>
      <w:rFonts w:ascii="PT Astra Serif" w:hAnsi="PT Astra Serif" w:eastAsia="Times New Roman" w:cs="Times New Roman"/>
      <w:sz w:val="24"/>
      <w:szCs w:val="28"/>
      <w:shd w:val="clear" w:color="auto" w:fill="FFFFFF"/>
      <w:lang w:val="ru-RU" w:eastAsia="ru-RU" w:bidi="ar-SA"/>
    </w:rPr>
  </w:style>
  <w:style w:type="paragraph" w:customStyle="1" w:styleId="62">
    <w:name w:val="_РТК_Таблица_10_центр"/>
    <w:qFormat/>
    <w:uiPriority w:val="0"/>
    <w:pPr>
      <w:spacing w:line="276" w:lineRule="auto"/>
      <w:jc w:val="center"/>
    </w:pPr>
    <w:rPr>
      <w:rFonts w:ascii="PT Astra Serif" w:hAnsi="PT Astra Serif" w:eastAsia="SimSun" w:cs="Times New Roman"/>
      <w:bCs/>
      <w:sz w:val="20"/>
      <w:szCs w:val="24"/>
      <w:lang w:val="ru-RU" w:eastAsia="ru-RU" w:bidi="ar-SA"/>
    </w:rPr>
  </w:style>
  <w:style w:type="paragraph" w:customStyle="1" w:styleId="63">
    <w:name w:val="_РТК_Таблица_10_слева"/>
    <w:qFormat/>
    <w:uiPriority w:val="0"/>
    <w:pPr>
      <w:spacing w:line="240" w:lineRule="auto"/>
    </w:pPr>
    <w:rPr>
      <w:rFonts w:ascii="PT Astra Serif" w:hAnsi="PT Astra Serif" w:eastAsia="SimSun" w:cs="Times New Roman"/>
      <w:bCs/>
      <w:sz w:val="20"/>
      <w:szCs w:val="24"/>
      <w:lang w:val="ru-RU" w:eastAsia="ru-RU" w:bidi="ar-SA"/>
    </w:rPr>
  </w:style>
  <w:style w:type="paragraph" w:customStyle="1" w:styleId="64">
    <w:name w:val="_РТК_Таблица_10_Заголовок"/>
    <w:qFormat/>
    <w:uiPriority w:val="0"/>
    <w:pPr>
      <w:spacing w:line="240" w:lineRule="auto"/>
      <w:jc w:val="center"/>
    </w:pPr>
    <w:rPr>
      <w:rFonts w:ascii="PT Astra Serif" w:hAnsi="PT Astra Serif" w:eastAsia="SimSun" w:cs="Times New Roman"/>
      <w:bCs/>
      <w:sz w:val="20"/>
      <w:szCs w:val="24"/>
      <w:lang w:val="ru-RU" w:eastAsia="ru-RU" w:bidi="ar-SA"/>
    </w:rPr>
  </w:style>
  <w:style w:type="character" w:customStyle="1" w:styleId="65">
    <w:name w:val="Текст сноски Знак"/>
    <w:basedOn w:val="11"/>
    <w:link w:val="20"/>
    <w:qFormat/>
    <w:uiPriority w:val="2"/>
    <w:rPr>
      <w:sz w:val="20"/>
      <w:szCs w:val="20"/>
    </w:rPr>
  </w:style>
  <w:style w:type="paragraph" w:customStyle="1" w:styleId="66">
    <w:name w:val="_РТК_0_Заголовок_б/н"/>
    <w:qFormat/>
    <w:uiPriority w:val="0"/>
    <w:pPr>
      <w:keepNext/>
      <w:pageBreakBefore/>
      <w:spacing w:before="600" w:after="240" w:line="276" w:lineRule="auto"/>
      <w:jc w:val="center"/>
    </w:pPr>
    <w:rPr>
      <w:rFonts w:ascii="PT Astra Serif" w:hAnsi="PT Astra Serif" w:eastAsia="Times New Roman" w:cs="Times New Roman"/>
      <w:b/>
      <w:sz w:val="28"/>
      <w:szCs w:val="20"/>
      <w:lang w:val="ru-RU" w:eastAsia="ru-RU" w:bidi="ar-SA"/>
    </w:rPr>
  </w:style>
  <w:style w:type="paragraph" w:customStyle="1" w:styleId="67">
    <w:name w:val="_РТК_0_Заголовок_б/н_содерж"/>
    <w:qFormat/>
    <w:uiPriority w:val="0"/>
    <w:pPr>
      <w:keepNext/>
      <w:pageBreakBefore/>
      <w:suppressAutoHyphens/>
      <w:spacing w:before="120" w:after="360" w:line="240" w:lineRule="auto"/>
      <w:jc w:val="center"/>
      <w:outlineLvl w:val="0"/>
    </w:pPr>
    <w:rPr>
      <w:rFonts w:ascii="PT Astra Serif" w:hAnsi="PT Astra Serif" w:eastAsia="SimSun" w:cs="Times New Roman"/>
      <w:b/>
      <w:bCs/>
      <w:sz w:val="28"/>
      <w:szCs w:val="28"/>
      <w:lang w:val="ru-RU" w:eastAsia="ru-RU" w:bidi="ar-SA"/>
    </w:rPr>
  </w:style>
  <w:style w:type="character" w:customStyle="1" w:styleId="68">
    <w:name w:val="Unresolved Mention"/>
    <w:basedOn w:val="11"/>
    <w:uiPriority w:val="99"/>
    <w:rPr>
      <w:color w:val="605E5C"/>
      <w:shd w:val="clear" w:color="auto" w:fill="E1DFDD"/>
    </w:rPr>
  </w:style>
  <w:style w:type="paragraph" w:customStyle="1" w:styleId="69">
    <w:name w:val="_РТК_Основной"/>
    <w:qFormat/>
    <w:uiPriority w:val="0"/>
    <w:pPr>
      <w:suppressAutoHyphens/>
      <w:spacing w:line="276" w:lineRule="auto"/>
      <w:ind w:firstLine="709"/>
      <w:jc w:val="both"/>
    </w:pPr>
    <w:rPr>
      <w:rFonts w:ascii="PT Astra Serif" w:hAnsi="PT Astra Serif" w:eastAsia="Times New Roman" w:cs="Times New Roman"/>
      <w:kern w:val="28"/>
      <w:sz w:val="24"/>
      <w:szCs w:val="32"/>
      <w:lang w:val="ru-RU" w:eastAsia="en-US" w:bidi="ar-SA"/>
    </w:rPr>
  </w:style>
  <w:style w:type="paragraph" w:customStyle="1" w:styleId="70">
    <w:name w:val="_РТК_подводка"/>
    <w:qFormat/>
    <w:uiPriority w:val="0"/>
    <w:pPr>
      <w:keepNext/>
      <w:suppressAutoHyphens/>
      <w:spacing w:after="120" w:line="276" w:lineRule="auto"/>
      <w:ind w:firstLine="709"/>
      <w:jc w:val="both"/>
    </w:pPr>
    <w:rPr>
      <w:rFonts w:ascii="PT Astra Serif" w:hAnsi="PT Astra Serif" w:eastAsia="Times New Roman" w:cs="Times New Roman"/>
      <w:bCs/>
      <w:sz w:val="24"/>
      <w:szCs w:val="28"/>
      <w:shd w:val="clear" w:color="auto" w:fill="FFFFFF"/>
      <w:lang w:val="ru-RU" w:eastAsia="ru-RU" w:bidi="ar-SA"/>
    </w:rPr>
  </w:style>
  <w:style w:type="paragraph" w:customStyle="1" w:styleId="71">
    <w:name w:val="_РТК_Примечание"/>
    <w:qFormat/>
    <w:uiPriority w:val="0"/>
    <w:pPr>
      <w:suppressAutoHyphens/>
      <w:spacing w:after="60" w:line="240" w:lineRule="auto"/>
      <w:ind w:firstLine="709"/>
      <w:jc w:val="both"/>
    </w:pPr>
    <w:rPr>
      <w:rFonts w:ascii="PT Astra Serif" w:hAnsi="PT Astra Serif" w:eastAsia="Times New Roman" w:cs="Times New Roman"/>
      <w:kern w:val="28"/>
      <w:sz w:val="22"/>
      <w:szCs w:val="32"/>
      <w:lang w:val="ru-RU" w:eastAsia="en-US" w:bidi="ar-SA"/>
    </w:rPr>
  </w:style>
  <w:style w:type="character" w:customStyle="1" w:styleId="72">
    <w:name w:val="_РТК_разрядка"/>
    <w:basedOn w:val="11"/>
    <w:qFormat/>
    <w:uiPriority w:val="0"/>
    <w:rPr>
      <w:rFonts w:ascii="PT Astra Serif" w:hAnsi="PT Astra Serif"/>
      <w:spacing w:val="40"/>
    </w:rPr>
  </w:style>
  <w:style w:type="paragraph" w:customStyle="1" w:styleId="73">
    <w:name w:val="_РТК_Рисунок_место"/>
    <w:qFormat/>
    <w:uiPriority w:val="0"/>
    <w:pPr>
      <w:keepNext/>
      <w:suppressAutoHyphens/>
      <w:spacing w:before="240" w:after="120" w:line="240" w:lineRule="auto"/>
      <w:jc w:val="center"/>
    </w:pPr>
    <w:rPr>
      <w:rFonts w:ascii="PT Astra Serif" w:hAnsi="PT Astra Serif" w:eastAsia="Times New Roman" w:cs="Times New Roman"/>
      <w:bCs/>
      <w:sz w:val="24"/>
      <w:szCs w:val="28"/>
      <w:shd w:val="clear" w:color="auto" w:fill="FFFFFF"/>
      <w:lang w:val="ru-RU" w:eastAsia="ru-RU" w:bidi="ar-SA"/>
    </w:rPr>
  </w:style>
  <w:style w:type="paragraph" w:customStyle="1" w:styleId="74">
    <w:name w:val="_РТК_Рисунок_номер"/>
    <w:qFormat/>
    <w:uiPriority w:val="0"/>
    <w:pPr>
      <w:suppressAutoHyphens/>
      <w:spacing w:before="120" w:after="120" w:line="276" w:lineRule="auto"/>
      <w:ind w:left="567" w:right="567"/>
      <w:jc w:val="center"/>
    </w:pPr>
    <w:rPr>
      <w:rFonts w:ascii="PT Astra Serif" w:hAnsi="PT Astra Serif" w:eastAsiaTheme="minorHAnsi" w:cstheme="minorBidi"/>
      <w:iCs/>
      <w:sz w:val="24"/>
      <w:szCs w:val="18"/>
      <w:lang w:val="ru-RU" w:eastAsia="en-US" w:bidi="ar-SA"/>
    </w:rPr>
  </w:style>
  <w:style w:type="paragraph" w:customStyle="1" w:styleId="75">
    <w:name w:val="_РТК_СПИСОК_123)_1ур"/>
    <w:qFormat/>
    <w:uiPriority w:val="0"/>
    <w:pPr>
      <w:numPr>
        <w:ilvl w:val="0"/>
        <w:numId w:val="6"/>
      </w:numPr>
      <w:tabs>
        <w:tab w:val="left" w:pos="0"/>
      </w:tabs>
      <w:suppressAutoHyphens/>
      <w:spacing w:line="276" w:lineRule="auto"/>
      <w:ind w:left="0"/>
      <w:jc w:val="both"/>
    </w:pPr>
    <w:rPr>
      <w:rFonts w:ascii="PT Astra Serif" w:hAnsi="PT Astra Serif" w:eastAsia="Times New Roman" w:cs="Times New Roman"/>
      <w:bCs/>
      <w:sz w:val="24"/>
      <w:szCs w:val="28"/>
      <w:shd w:val="clear" w:color="auto" w:fill="FFFFFF"/>
      <w:lang w:val="ru-RU" w:eastAsia="ru-RU" w:bidi="ar-SA"/>
    </w:rPr>
  </w:style>
  <w:style w:type="paragraph" w:customStyle="1" w:styleId="76">
    <w:name w:val="_РТК_СПИСОК_марк_1ур"/>
    <w:qFormat/>
    <w:uiPriority w:val="0"/>
    <w:pPr>
      <w:numPr>
        <w:ilvl w:val="0"/>
        <w:numId w:val="7"/>
      </w:numPr>
      <w:suppressAutoHyphens/>
      <w:spacing w:line="276" w:lineRule="auto"/>
      <w:ind w:left="0"/>
      <w:jc w:val="both"/>
    </w:pPr>
    <w:rPr>
      <w:rFonts w:ascii="PT Astra Serif" w:hAnsi="PT Astra Serif" w:eastAsia="Times New Roman" w:cs="Times New Roman"/>
      <w:sz w:val="24"/>
      <w:szCs w:val="28"/>
      <w:lang w:val="ru-RU" w:eastAsia="ru-RU" w:bidi="ar-SA"/>
    </w:rPr>
  </w:style>
  <w:style w:type="paragraph" w:customStyle="1" w:styleId="77">
    <w:name w:val="_РТК_Список_марк_2ур_дефис после 123)"/>
    <w:qFormat/>
    <w:uiPriority w:val="0"/>
    <w:pPr>
      <w:numPr>
        <w:ilvl w:val="0"/>
        <w:numId w:val="8"/>
      </w:numPr>
      <w:suppressAutoHyphens/>
      <w:spacing w:line="276" w:lineRule="auto"/>
      <w:jc w:val="both"/>
    </w:pPr>
    <w:rPr>
      <w:rFonts w:ascii="PT Astra Serif" w:hAnsi="PT Astra Serif" w:eastAsia="Times New Roman" w:cs="Times New Roman"/>
      <w:sz w:val="24"/>
      <w:szCs w:val="28"/>
      <w:lang w:val="ru-RU" w:eastAsia="ru-RU" w:bidi="ar-SA"/>
    </w:rPr>
  </w:style>
  <w:style w:type="paragraph" w:customStyle="1" w:styleId="78">
    <w:name w:val="_РТК_Список_марк_точка_2ур"/>
    <w:qFormat/>
    <w:uiPriority w:val="0"/>
    <w:pPr>
      <w:numPr>
        <w:ilvl w:val="0"/>
        <w:numId w:val="9"/>
      </w:numPr>
      <w:suppressAutoHyphens/>
      <w:spacing w:line="276" w:lineRule="auto"/>
      <w:jc w:val="both"/>
    </w:pPr>
    <w:rPr>
      <w:rFonts w:ascii="PT Astra Serif" w:hAnsi="PT Astra Serif" w:eastAsia="SimSun" w:cs="Times New Roman"/>
      <w:sz w:val="24"/>
      <w:szCs w:val="24"/>
      <w:lang w:val="ru-RU" w:eastAsia="ru-RU" w:bidi="ar-SA"/>
    </w:rPr>
  </w:style>
  <w:style w:type="paragraph" w:customStyle="1" w:styleId="79">
    <w:name w:val="_РТК_Таблица_12_заголовок"/>
    <w:qFormat/>
    <w:uiPriority w:val="0"/>
    <w:pPr>
      <w:keepNext/>
      <w:suppressAutoHyphens/>
      <w:spacing w:before="60" w:after="60" w:line="240" w:lineRule="auto"/>
      <w:jc w:val="center"/>
    </w:pPr>
    <w:rPr>
      <w:rFonts w:ascii="PT Astra Serif" w:hAnsi="PT Astra Serif" w:eastAsiaTheme="minorHAnsi" w:cstheme="minorBidi"/>
      <w:sz w:val="24"/>
      <w:szCs w:val="24"/>
      <w:lang w:val="ru-RU" w:eastAsia="en-US" w:bidi="ar-SA"/>
    </w:rPr>
  </w:style>
  <w:style w:type="paragraph" w:customStyle="1" w:styleId="80">
    <w:name w:val="_РТК_Таблица_12_слева"/>
    <w:qFormat/>
    <w:uiPriority w:val="0"/>
    <w:pPr>
      <w:suppressAutoHyphens/>
      <w:spacing w:line="240" w:lineRule="auto"/>
    </w:pPr>
    <w:rPr>
      <w:rFonts w:ascii="PT Astra Serif" w:hAnsi="PT Astra Serif" w:eastAsia="Calibri" w:cs="Times New Roman"/>
      <w:spacing w:val="-2"/>
      <w:sz w:val="24"/>
      <w:szCs w:val="24"/>
      <w:lang w:val="ru-RU" w:eastAsia="en-US" w:bidi="ar-SA"/>
    </w:rPr>
  </w:style>
  <w:style w:type="paragraph" w:customStyle="1" w:styleId="81">
    <w:name w:val="_РТК_Таблица_12_справа"/>
    <w:link w:val="82"/>
    <w:qFormat/>
    <w:uiPriority w:val="0"/>
    <w:pPr>
      <w:suppressAutoHyphens/>
      <w:spacing w:line="240" w:lineRule="auto"/>
      <w:jc w:val="right"/>
    </w:pPr>
    <w:rPr>
      <w:rFonts w:ascii="PT Astra Serif" w:hAnsi="PT Astra Serif" w:eastAsia="Calibri" w:cs="Times New Roman"/>
      <w:spacing w:val="-2"/>
      <w:sz w:val="24"/>
      <w:szCs w:val="24"/>
      <w:lang w:val="ru-RU" w:eastAsia="en-US" w:bidi="ar-SA"/>
    </w:rPr>
  </w:style>
  <w:style w:type="character" w:customStyle="1" w:styleId="82">
    <w:name w:val="_РТК_Таблица_12_справа Знак"/>
    <w:basedOn w:val="11"/>
    <w:link w:val="81"/>
    <w:qFormat/>
    <w:uiPriority w:val="0"/>
    <w:rPr>
      <w:rFonts w:ascii="PT Astra Serif" w:hAnsi="PT Astra Serif" w:eastAsia="Calibri"/>
      <w:spacing w:val="-2"/>
      <w:lang w:eastAsia="en-US"/>
    </w:rPr>
  </w:style>
  <w:style w:type="paragraph" w:customStyle="1" w:styleId="83">
    <w:name w:val="_РТК_Таблица_12_центр"/>
    <w:qFormat/>
    <w:uiPriority w:val="0"/>
    <w:pPr>
      <w:suppressAutoHyphens/>
      <w:spacing w:line="240" w:lineRule="auto"/>
      <w:jc w:val="center"/>
    </w:pPr>
    <w:rPr>
      <w:rFonts w:ascii="PT Astra Serif" w:hAnsi="PT Astra Serif" w:eastAsia="Calibri" w:cs="Times New Roman"/>
      <w:spacing w:val="-2"/>
      <w:sz w:val="24"/>
      <w:szCs w:val="24"/>
      <w:lang w:val="ru-RU" w:eastAsia="en-US" w:bidi="ar-SA"/>
    </w:rPr>
  </w:style>
  <w:style w:type="paragraph" w:customStyle="1" w:styleId="84">
    <w:name w:val="_РТК_Таблица_номер"/>
    <w:qFormat/>
    <w:uiPriority w:val="0"/>
    <w:pPr>
      <w:keepNext/>
      <w:suppressAutoHyphens/>
      <w:spacing w:before="120" w:after="120" w:line="276" w:lineRule="auto"/>
      <w:ind w:left="1814" w:hanging="1814"/>
    </w:pPr>
    <w:rPr>
      <w:rFonts w:ascii="PT Astra Serif" w:hAnsi="PT Astra Serif" w:eastAsia="Times New Roman" w:cs="Times New Roman"/>
      <w:sz w:val="24"/>
      <w:szCs w:val="24"/>
      <w:lang w:val="ru-RU" w:eastAsia="ru-RU" w:bidi="ar-SA"/>
    </w:rPr>
  </w:style>
  <w:style w:type="paragraph" w:customStyle="1" w:styleId="85">
    <w:name w:val="_РТК_Титул_14_документ"/>
    <w:qFormat/>
    <w:uiPriority w:val="0"/>
    <w:pPr>
      <w:suppressAutoHyphens/>
      <w:spacing w:before="60" w:after="60" w:line="276" w:lineRule="auto"/>
      <w:ind w:left="851" w:right="851"/>
      <w:contextualSpacing/>
      <w:jc w:val="center"/>
    </w:pPr>
    <w:rPr>
      <w:rFonts w:ascii="PT Astra Serif" w:hAnsi="PT Astra Serif" w:eastAsiaTheme="minorHAnsi" w:cstheme="minorBidi"/>
      <w:sz w:val="28"/>
      <w:szCs w:val="24"/>
      <w:lang w:val="ru-RU" w:eastAsia="en-US" w:bidi="ar-SA"/>
    </w:rPr>
  </w:style>
  <w:style w:type="paragraph" w:customStyle="1" w:styleId="86">
    <w:name w:val="_РТК_Титул_14_ПП_центр"/>
    <w:qFormat/>
    <w:uiPriority w:val="0"/>
    <w:pPr>
      <w:spacing w:before="120" w:after="120" w:line="276" w:lineRule="auto"/>
      <w:contextualSpacing/>
      <w:jc w:val="center"/>
    </w:pPr>
    <w:rPr>
      <w:rFonts w:ascii="PT Astra Serif" w:hAnsi="PT Astra Serif" w:eastAsia="Times New Roman" w:cs="Times New Roman"/>
      <w:caps/>
      <w:spacing w:val="20"/>
      <w:sz w:val="28"/>
      <w:szCs w:val="28"/>
      <w:shd w:val="clear" w:color="auto" w:fill="FFFFFF"/>
      <w:lang w:val="ru-RU" w:eastAsia="ru-RU" w:bidi="ar-SA"/>
    </w:rPr>
  </w:style>
  <w:style w:type="paragraph" w:customStyle="1" w:styleId="87">
    <w:name w:val="_РТК_Таблица_11_слева"/>
    <w:qFormat/>
    <w:uiPriority w:val="0"/>
    <w:pPr>
      <w:spacing w:line="240" w:lineRule="auto"/>
    </w:pPr>
    <w:rPr>
      <w:rFonts w:ascii="PT Astra Serif" w:hAnsi="PT Astra Serif" w:eastAsia="SimSun" w:cs="Times New Roman"/>
      <w:sz w:val="22"/>
      <w:szCs w:val="24"/>
      <w:lang w:val="ru-RU" w:eastAsia="ru-RU" w:bidi="ar-SA"/>
    </w:rPr>
  </w:style>
  <w:style w:type="paragraph" w:customStyle="1" w:styleId="88">
    <w:name w:val="_РТК_Таблица_11_Заголовок"/>
    <w:qFormat/>
    <w:uiPriority w:val="0"/>
    <w:pPr>
      <w:spacing w:line="240" w:lineRule="auto"/>
      <w:jc w:val="center"/>
    </w:pPr>
    <w:rPr>
      <w:rFonts w:ascii="PT Astra Serif" w:hAnsi="PT Astra Serif" w:eastAsiaTheme="minorHAnsi" w:cstheme="minorBidi"/>
      <w:sz w:val="22"/>
      <w:szCs w:val="24"/>
      <w:lang w:val="ru-RU" w:eastAsia="en-US" w:bidi="ar-SA"/>
    </w:rPr>
  </w:style>
  <w:style w:type="paragraph" w:customStyle="1" w:styleId="89">
    <w:name w:val="TOC Heading"/>
    <w:basedOn w:val="2"/>
    <w:next w:val="1"/>
    <w:qFormat/>
    <w:uiPriority w:val="39"/>
    <w:pPr>
      <w:keepLines/>
      <w:pageBreakBefore w:val="0"/>
      <w:numPr>
        <w:numId w:val="0"/>
      </w:numPr>
      <w:spacing w:after="0" w:line="259" w:lineRule="auto"/>
      <w:jc w:val="left"/>
      <w:outlineLvl w:val="9"/>
    </w:pPr>
    <w:rPr>
      <w:rFonts w:asciiTheme="majorHAnsi" w:hAnsiTheme="majorHAnsi" w:eastAsiaTheme="majorEastAsia" w:cstheme="majorBidi"/>
      <w:b w:val="0"/>
      <w:bCs w:val="0"/>
      <w:caps w:val="0"/>
      <w:color w:val="2F5597" w:themeColor="accent1" w:themeShade="BF"/>
      <w:kern w:val="0"/>
    </w:rPr>
  </w:style>
  <w:style w:type="character" w:customStyle="1" w:styleId="90">
    <w:name w:val="terms-mark"/>
    <w:basedOn w:val="11"/>
    <w:uiPriority w:val="0"/>
  </w:style>
  <w:style w:type="paragraph" w:styleId="91">
    <w:name w:val="List Paragraph"/>
    <w:basedOn w:val="1"/>
    <w:qFormat/>
    <w:uiPriority w:val="34"/>
    <w:pPr>
      <w:spacing w:after="160" w:line="259" w:lineRule="auto"/>
      <w:ind w:left="720"/>
      <w:contextualSpacing/>
    </w:pPr>
    <w:rPr>
      <w:rFonts w:asciiTheme="minorHAnsi" w:hAnsiTheme="minorHAnsi" w:eastAsiaTheme="minorHAnsi" w:cstheme="minorBidi"/>
      <w:sz w:val="22"/>
      <w:szCs w:val="22"/>
      <w:lang w:eastAsia="en-US"/>
    </w:rPr>
  </w:style>
  <w:style w:type="paragraph" w:customStyle="1" w:styleId="92">
    <w:name w:val="_РТК_Список_марк_точка_3ур"/>
    <w:qFormat/>
    <w:uiPriority w:val="0"/>
    <w:pPr>
      <w:numPr>
        <w:ilvl w:val="0"/>
        <w:numId w:val="10"/>
      </w:numPr>
      <w:spacing w:line="300" w:lineRule="auto"/>
      <w:jc w:val="both"/>
    </w:pPr>
    <w:rPr>
      <w:rFonts w:ascii="PT Astra Serif" w:hAnsi="PT Astra Serif" w:eastAsia="SimSun" w:cs="Times New Roman"/>
      <w:sz w:val="24"/>
      <w:szCs w:val="24"/>
      <w:lang w:val="ru-RU" w:eastAsia="ru-RU" w:bidi="ar-SA"/>
    </w:rPr>
  </w:style>
  <w:style w:type="paragraph" w:customStyle="1" w:styleId="93">
    <w:name w:val="_РТК_Список_абв)_3ур"/>
    <w:qFormat/>
    <w:uiPriority w:val="0"/>
    <w:pPr>
      <w:numPr>
        <w:ilvl w:val="0"/>
        <w:numId w:val="11"/>
      </w:numPr>
      <w:suppressAutoHyphens/>
      <w:spacing w:line="276" w:lineRule="auto"/>
      <w:jc w:val="both"/>
    </w:pPr>
    <w:rPr>
      <w:rFonts w:ascii="PT Astra Serif" w:hAnsi="PT Astra Serif" w:eastAsia="Times New Roman" w:cs="Times New Roman"/>
      <w:sz w:val="24"/>
      <w:szCs w:val="28"/>
      <w:lang w:val="ru-RU" w:eastAsia="ru-RU" w:bidi="ar-SA"/>
    </w:rPr>
  </w:style>
  <w:style w:type="paragraph" w:customStyle="1" w:styleId="94">
    <w:name w:val="_РТК_Список_АКТ_абв)_2ур"/>
    <w:basedOn w:val="1"/>
    <w:qFormat/>
    <w:uiPriority w:val="0"/>
    <w:pPr>
      <w:numPr>
        <w:ilvl w:val="0"/>
        <w:numId w:val="12"/>
      </w:numPr>
      <w:spacing w:line="240" w:lineRule="auto"/>
      <w:jc w:val="both"/>
    </w:pPr>
    <w:rPr>
      <w:rFonts w:ascii="PT Astra Serif" w:hAnsi="PT Astra Serif"/>
    </w:rPr>
  </w:style>
  <w:style w:type="paragraph" w:customStyle="1" w:styleId="95">
    <w:name w:val="_РТК_ФОМС"/>
    <w:qFormat/>
    <w:uiPriority w:val="0"/>
    <w:pPr>
      <w:spacing w:line="276" w:lineRule="auto"/>
      <w:jc w:val="center"/>
    </w:pPr>
    <w:rPr>
      <w:rFonts w:ascii="PT Astra Serif" w:hAnsi="PT Astra Serif" w:eastAsia="SimSun" w:cs="Times New Roman"/>
      <w:spacing w:val="10"/>
      <w:sz w:val="24"/>
      <w:szCs w:val="24"/>
      <w:lang w:val="ru-RU" w:eastAsia="ru-RU" w:bidi="ar-SA"/>
    </w:rPr>
  </w:style>
  <w:style w:type="character" w:styleId="96">
    <w:name w:val="Placeholder Text"/>
    <w:basedOn w:val="11"/>
    <w:qFormat/>
    <w:uiPriority w:val="99"/>
    <w:rPr>
      <w:color w:val="808080"/>
    </w:rPr>
  </w:style>
  <w:style w:type="paragraph" w:customStyle="1" w:styleId="97">
    <w:name w:val="АЛ_Таблица_10_слева"/>
    <w:qFormat/>
    <w:uiPriority w:val="0"/>
    <w:pPr>
      <w:spacing w:line="240" w:lineRule="auto"/>
    </w:pPr>
    <w:rPr>
      <w:rFonts w:ascii="Times New Roman" w:hAnsi="Times New Roman" w:eastAsia="SimSun" w:cs="Times New Roman"/>
      <w:bCs/>
      <w:sz w:val="20"/>
      <w:szCs w:val="24"/>
      <w:lang w:val="ru-RU" w:eastAsia="ru-RU" w:bidi="ar-SA"/>
    </w:rPr>
  </w:style>
  <w:style w:type="character" w:customStyle="1" w:styleId="98">
    <w:name w:val="АЛ_разрядка"/>
    <w:basedOn w:val="11"/>
    <w:qFormat/>
    <w:uiPriority w:val="0"/>
    <w:rPr>
      <w:spacing w:val="40"/>
    </w:rPr>
  </w:style>
  <w:style w:type="paragraph" w:customStyle="1" w:styleId="99">
    <w:name w:val="АЛ_Рисунок_место"/>
    <w:qFormat/>
    <w:uiPriority w:val="0"/>
    <w:pPr>
      <w:keepNext/>
      <w:spacing w:before="240" w:after="120" w:line="276" w:lineRule="auto"/>
      <w:jc w:val="center"/>
    </w:pPr>
    <w:rPr>
      <w:rFonts w:ascii="Times New Roman" w:hAnsi="Times New Roman" w:eastAsia="Times New Roman" w:cs="Times New Roman"/>
      <w:sz w:val="24"/>
      <w:szCs w:val="24"/>
      <w:lang w:val="ru-RU" w:eastAsia="en-US" w:bidi="ar-SA"/>
    </w:rPr>
  </w:style>
  <w:style w:type="paragraph" w:customStyle="1" w:styleId="100">
    <w:name w:val="_РТК_Таблица_11_заголовок"/>
    <w:qFormat/>
    <w:uiPriority w:val="1"/>
    <w:pPr>
      <w:spacing w:line="240" w:lineRule="auto"/>
      <w:jc w:val="center"/>
    </w:pPr>
    <w:rPr>
      <w:rFonts w:ascii="PT Astra Serif" w:hAnsi="PT Astra Serif" w:eastAsia="SimSun" w:cs="Times New Roman"/>
      <w:sz w:val="22"/>
      <w:szCs w:val="24"/>
      <w:lang w:val="ru-RU" w:eastAsia="ru-RU" w:bidi="ar-SA"/>
    </w:rPr>
  </w:style>
  <w:style w:type="paragraph" w:customStyle="1" w:styleId="101">
    <w:name w:val="_РТК_Таблица_11_марк"/>
    <w:qFormat/>
    <w:uiPriority w:val="0"/>
    <w:pPr>
      <w:numPr>
        <w:ilvl w:val="0"/>
        <w:numId w:val="13"/>
      </w:numPr>
      <w:spacing w:line="240" w:lineRule="auto"/>
    </w:pPr>
    <w:rPr>
      <w:rFonts w:ascii="PT Astra Serif" w:hAnsi="PT Astra Serif" w:eastAsia="SimSun" w:cs="Times New Roman"/>
      <w:sz w:val="22"/>
      <w:szCs w:val="24"/>
      <w:lang w:val="ru-RU" w:eastAsia="ru-RU" w:bidi="ar-SA"/>
    </w:rPr>
  </w:style>
  <w:style w:type="paragraph" w:customStyle="1" w:styleId="102">
    <w:name w:val="_РТК_Таблица_КЗ_слева"/>
    <w:qFormat/>
    <w:uiPriority w:val="0"/>
    <w:pPr>
      <w:suppressAutoHyphens/>
      <w:spacing w:line="240" w:lineRule="auto"/>
    </w:pPr>
    <w:rPr>
      <w:rFonts w:ascii="PT Astra Serif" w:hAnsi="PT Astra Serif" w:eastAsia="Calibri" w:cs="Times New Roman"/>
      <w:spacing w:val="-2"/>
      <w:sz w:val="24"/>
      <w:szCs w:val="24"/>
      <w:lang w:val="ru-RU" w:eastAsia="en-US" w:bidi="ar-SA"/>
    </w:rPr>
  </w:style>
  <w:style w:type="paragraph" w:customStyle="1" w:styleId="103">
    <w:name w:val="_РТК_Таблица_КЗ_№п/п"/>
    <w:qFormat/>
    <w:uiPriority w:val="0"/>
    <w:pPr>
      <w:numPr>
        <w:ilvl w:val="0"/>
        <w:numId w:val="14"/>
      </w:numPr>
      <w:spacing w:line="240" w:lineRule="auto"/>
    </w:pPr>
    <w:rPr>
      <w:rFonts w:ascii="PT Astra Serif" w:hAnsi="PT Astra Serif" w:eastAsia="Times New Roman" w:cs="Times New Roman"/>
      <w:sz w:val="24"/>
      <w:szCs w:val="24"/>
      <w:lang w:val="ru-RU" w:eastAsia="ru-RU" w:bidi="ar-SA"/>
    </w:rPr>
  </w:style>
  <w:style w:type="paragraph" w:customStyle="1" w:styleId="104">
    <w:name w:val="_РТК_Таблица_КЗ_марк"/>
    <w:qFormat/>
    <w:uiPriority w:val="0"/>
    <w:pPr>
      <w:widowControl w:val="0"/>
      <w:numPr>
        <w:ilvl w:val="0"/>
        <w:numId w:val="15"/>
      </w:numPr>
      <w:shd w:val="clear" w:color="auto" w:fill="FFFFFF"/>
      <w:spacing w:line="240" w:lineRule="auto"/>
    </w:pPr>
    <w:rPr>
      <w:rFonts w:ascii="PT Astra Serif" w:hAnsi="PT Astra Serif" w:eastAsia="SimSun" w:cs="Times New Roman"/>
      <w:sz w:val="24"/>
      <w:szCs w:val="24"/>
      <w:lang w:val="ru-RU" w:eastAsia="ru-RU" w:bidi="ar-SA"/>
    </w:rPr>
  </w:style>
  <w:style w:type="paragraph" w:customStyle="1" w:styleId="105">
    <w:name w:val="_РТК_Таблица_12_марк_2_КС"/>
    <w:qFormat/>
    <w:uiPriority w:val="0"/>
    <w:pPr>
      <w:numPr>
        <w:ilvl w:val="0"/>
        <w:numId w:val="16"/>
      </w:numPr>
      <w:spacing w:line="240" w:lineRule="auto"/>
    </w:pPr>
    <w:rPr>
      <w:rFonts w:ascii="PT Astra Serif" w:hAnsi="PT Astra Serif" w:eastAsia="SimSun" w:cs="Times New Roman"/>
      <w:bCs/>
      <w:sz w:val="24"/>
      <w:szCs w:val="24"/>
      <w:lang w:val="ru-RU" w:eastAsia="ru-RU" w:bidi="ar-SA"/>
    </w:rPr>
  </w:style>
  <w:style w:type="paragraph" w:customStyle="1" w:styleId="106">
    <w:name w:val="_РТК_Таблица_12_Заголовок"/>
    <w:qFormat/>
    <w:uiPriority w:val="0"/>
    <w:pPr>
      <w:keepNext/>
      <w:suppressAutoHyphens/>
      <w:spacing w:before="60" w:after="60" w:line="240" w:lineRule="auto"/>
      <w:jc w:val="center"/>
    </w:pPr>
    <w:rPr>
      <w:rFonts w:ascii="PT Astra Serif" w:hAnsi="PT Astra Serif" w:eastAsiaTheme="minorHAnsi" w:cstheme="minorBidi"/>
      <w:sz w:val="24"/>
      <w:szCs w:val="24"/>
      <w:lang w:val="ru-RU" w:eastAsia="en-US" w:bidi="ar-SA"/>
    </w:rPr>
  </w:style>
  <w:style w:type="paragraph" w:customStyle="1" w:styleId="107">
    <w:name w:val="_РТК_13_центр_ПП"/>
    <w:qFormat/>
    <w:uiPriority w:val="0"/>
    <w:pPr>
      <w:spacing w:before="120" w:after="120" w:line="240" w:lineRule="auto"/>
      <w:jc w:val="center"/>
    </w:pPr>
    <w:rPr>
      <w:rFonts w:ascii="PT Astra Serif" w:hAnsi="PT Astra Serif" w:eastAsia="SimSun" w:cs="Times New Roman"/>
      <w:sz w:val="26"/>
      <w:szCs w:val="26"/>
      <w:lang w:val="ru-RU" w:eastAsia="ru-RU" w:bidi="ar-SA"/>
      <w14:ligatures w14:val="standardContextual"/>
    </w:rPr>
  </w:style>
  <w:style w:type="paragraph" w:customStyle="1" w:styleId="108">
    <w:name w:val="_РТК_Таблица_12_марк"/>
    <w:qFormat/>
    <w:uiPriority w:val="0"/>
    <w:pPr>
      <w:widowControl w:val="0"/>
      <w:shd w:val="clear" w:color="auto" w:fill="FFFFFF"/>
      <w:spacing w:line="240" w:lineRule="auto"/>
      <w:ind w:left="170" w:hanging="57"/>
    </w:pPr>
    <w:rPr>
      <w:rFonts w:ascii="PT Astra Serif" w:hAnsi="PT Astra Serif" w:eastAsia="SimSun" w:cs="Times New Roman"/>
      <w:sz w:val="24"/>
      <w:szCs w:val="24"/>
      <w:lang w:val="ru-RU" w:eastAsia="ru-RU" w:bidi="ar-SA"/>
      <w14:ligatures w14:val="standardContextual"/>
    </w:rPr>
  </w:style>
  <w:style w:type="paragraph" w:customStyle="1" w:styleId="109">
    <w:name w:val="_РТК_Таблица_КЗ_марк_2ур"/>
    <w:qFormat/>
    <w:uiPriority w:val="0"/>
    <w:pPr>
      <w:numPr>
        <w:ilvl w:val="0"/>
        <w:numId w:val="17"/>
      </w:numPr>
      <w:spacing w:line="240" w:lineRule="auto"/>
    </w:pPr>
    <w:rPr>
      <w:rFonts w:ascii="PT Astra Serif" w:hAnsi="PT Astra Serif" w:eastAsia="SimSun" w:cs="Times New Roman"/>
      <w:sz w:val="24"/>
      <w:szCs w:val="20"/>
      <w:lang w:val="ru-RU" w:eastAsia="ru-RU" w:bidi="ar-SA"/>
    </w:rPr>
  </w:style>
  <w:style w:type="paragraph" w:customStyle="1" w:styleId="110">
    <w:name w:val="_РТК_Сноска"/>
    <w:qFormat/>
    <w:uiPriority w:val="0"/>
    <w:pPr>
      <w:spacing w:line="240" w:lineRule="auto"/>
      <w:ind w:firstLine="709"/>
    </w:pPr>
    <w:rPr>
      <w:rFonts w:ascii="PT Astra Serif" w:hAnsi="PT Astra Serif" w:eastAsia="Times New Roman" w:cs="Times New Roman"/>
      <w:sz w:val="22"/>
      <w:szCs w:val="24"/>
      <w:lang w:val="ru-RU" w:eastAsia="ru-RU" w:bidi="ar-SA"/>
    </w:rPr>
  </w:style>
  <w:style w:type="paragraph" w:customStyle="1" w:styleId="111">
    <w:name w:val="_РТК_Приложение_А"/>
    <w:qFormat/>
    <w:uiPriority w:val="0"/>
    <w:pPr>
      <w:pageBreakBefore/>
      <w:spacing w:before="360" w:after="240" w:line="276" w:lineRule="auto"/>
      <w:jc w:val="center"/>
      <w:outlineLvl w:val="3"/>
    </w:pPr>
    <w:rPr>
      <w:rFonts w:ascii="PT Astra Serif" w:hAnsi="PT Astra Serif" w:eastAsia="Times New Roman" w:cs="Times New Roman"/>
      <w:b/>
      <w:snapToGrid w:val="0"/>
      <w:kern w:val="2"/>
      <w:sz w:val="28"/>
      <w:szCs w:val="24"/>
      <w:lang w:val="ru-RU" w:eastAsia="ru-RU" w:bidi="ar-SA"/>
      <w14:ligatures w14:val="standardContextual"/>
    </w:rPr>
  </w:style>
  <w:style w:type="paragraph" w:customStyle="1" w:styleId="112">
    <w:name w:val="Стиль Оглавление 3"/>
    <w:basedOn w:val="1"/>
    <w:uiPriority w:val="0"/>
    <w:pPr>
      <w:tabs>
        <w:tab w:val="right" w:leader="dot" w:pos="9628"/>
      </w:tabs>
      <w:ind w:left="1077" w:right="567" w:hanging="510"/>
      <w:contextualSpacing/>
    </w:pPr>
    <w:rPr>
      <w:rFonts w:ascii="PT Astra Serif" w:hAnsi="PT Astra Serif"/>
      <w:kern w:val="2"/>
      <w:lang w:val="en-US"/>
    </w:rPr>
  </w:style>
  <w:style w:type="paragraph" w:customStyle="1" w:styleId="113">
    <w:name w:val="Стиль1"/>
    <w:basedOn w:val="76"/>
    <w:qFormat/>
    <w:uiPriority w:val="1"/>
  </w:style>
</w:styles>
</file>

<file path=word/_rels/document.xml.rels><?xml version="1.0" encoding="UTF-8" standalone="yes"?>
<Relationships xmlns="http://schemas.openxmlformats.org/package/2006/relationships"><Relationship Id="rId99" Type="http://schemas.openxmlformats.org/officeDocument/2006/relationships/image" Target="media/image89.png"/><Relationship Id="rId98" Type="http://schemas.openxmlformats.org/officeDocument/2006/relationships/image" Target="media/image88.png"/><Relationship Id="rId97" Type="http://schemas.openxmlformats.org/officeDocument/2006/relationships/image" Target="media/image87.png"/><Relationship Id="rId96" Type="http://schemas.openxmlformats.org/officeDocument/2006/relationships/image" Target="media/image86.png"/><Relationship Id="rId95" Type="http://schemas.openxmlformats.org/officeDocument/2006/relationships/image" Target="media/image85.png"/><Relationship Id="rId94" Type="http://schemas.openxmlformats.org/officeDocument/2006/relationships/image" Target="media/image84.png"/><Relationship Id="rId93" Type="http://schemas.openxmlformats.org/officeDocument/2006/relationships/image" Target="media/image83.png"/><Relationship Id="rId92" Type="http://schemas.openxmlformats.org/officeDocument/2006/relationships/image" Target="media/image82.png"/><Relationship Id="rId91" Type="http://schemas.openxmlformats.org/officeDocument/2006/relationships/image" Target="media/image81.png"/><Relationship Id="rId90" Type="http://schemas.openxmlformats.org/officeDocument/2006/relationships/image" Target="media/image80.png"/><Relationship Id="rId9" Type="http://schemas.openxmlformats.org/officeDocument/2006/relationships/header" Target="header4.xml"/><Relationship Id="rId89" Type="http://schemas.openxmlformats.org/officeDocument/2006/relationships/image" Target="media/image79.png"/><Relationship Id="rId88" Type="http://schemas.openxmlformats.org/officeDocument/2006/relationships/image" Target="media/image78.png"/><Relationship Id="rId87" Type="http://schemas.openxmlformats.org/officeDocument/2006/relationships/image" Target="media/image77.png"/><Relationship Id="rId86" Type="http://schemas.openxmlformats.org/officeDocument/2006/relationships/image" Target="media/image76.png"/><Relationship Id="rId85" Type="http://schemas.openxmlformats.org/officeDocument/2006/relationships/image" Target="media/image75.png"/><Relationship Id="rId84" Type="http://schemas.openxmlformats.org/officeDocument/2006/relationships/image" Target="media/image74.png"/><Relationship Id="rId83" Type="http://schemas.openxmlformats.org/officeDocument/2006/relationships/image" Target="media/image73.png"/><Relationship Id="rId82" Type="http://schemas.openxmlformats.org/officeDocument/2006/relationships/image" Target="media/image72.png"/><Relationship Id="rId81" Type="http://schemas.openxmlformats.org/officeDocument/2006/relationships/image" Target="media/image71.png"/><Relationship Id="rId80" Type="http://schemas.openxmlformats.org/officeDocument/2006/relationships/image" Target="media/image70.png"/><Relationship Id="rId8" Type="http://schemas.openxmlformats.org/officeDocument/2006/relationships/header" Target="header3.xml"/><Relationship Id="rId79" Type="http://schemas.openxmlformats.org/officeDocument/2006/relationships/image" Target="media/image69.png"/><Relationship Id="rId78" Type="http://schemas.openxmlformats.org/officeDocument/2006/relationships/image" Target="media/image68.png"/><Relationship Id="rId77" Type="http://schemas.openxmlformats.org/officeDocument/2006/relationships/image" Target="media/image67.png"/><Relationship Id="rId76" Type="http://schemas.openxmlformats.org/officeDocument/2006/relationships/image" Target="media/image66.png"/><Relationship Id="rId75" Type="http://schemas.openxmlformats.org/officeDocument/2006/relationships/image" Target="media/image65.png"/><Relationship Id="rId74" Type="http://schemas.openxmlformats.org/officeDocument/2006/relationships/image" Target="media/image64.png"/><Relationship Id="rId73" Type="http://schemas.openxmlformats.org/officeDocument/2006/relationships/image" Target="media/image63.png"/><Relationship Id="rId72" Type="http://schemas.openxmlformats.org/officeDocument/2006/relationships/image" Target="media/image62.png"/><Relationship Id="rId71" Type="http://schemas.openxmlformats.org/officeDocument/2006/relationships/image" Target="media/image61.png"/><Relationship Id="rId70" Type="http://schemas.openxmlformats.org/officeDocument/2006/relationships/image" Target="media/image60.png"/><Relationship Id="rId7" Type="http://schemas.openxmlformats.org/officeDocument/2006/relationships/footer" Target="footer1.xml"/><Relationship Id="rId69" Type="http://schemas.openxmlformats.org/officeDocument/2006/relationships/image" Target="media/image59.png"/><Relationship Id="rId68" Type="http://schemas.openxmlformats.org/officeDocument/2006/relationships/image" Target="media/image58.png"/><Relationship Id="rId67" Type="http://schemas.openxmlformats.org/officeDocument/2006/relationships/image" Target="media/image57.png"/><Relationship Id="rId66" Type="http://schemas.openxmlformats.org/officeDocument/2006/relationships/image" Target="media/image56.png"/><Relationship Id="rId65" Type="http://schemas.openxmlformats.org/officeDocument/2006/relationships/image" Target="media/image55.png"/><Relationship Id="rId64" Type="http://schemas.openxmlformats.org/officeDocument/2006/relationships/image" Target="media/image54.png"/><Relationship Id="rId63" Type="http://schemas.openxmlformats.org/officeDocument/2006/relationships/image" Target="media/image53.png"/><Relationship Id="rId62" Type="http://schemas.openxmlformats.org/officeDocument/2006/relationships/image" Target="media/image52.png"/><Relationship Id="rId61" Type="http://schemas.openxmlformats.org/officeDocument/2006/relationships/image" Target="media/image51.png"/><Relationship Id="rId60" Type="http://schemas.openxmlformats.org/officeDocument/2006/relationships/image" Target="media/image50.png"/><Relationship Id="rId6" Type="http://schemas.openxmlformats.org/officeDocument/2006/relationships/header" Target="header2.xml"/><Relationship Id="rId59" Type="http://schemas.openxmlformats.org/officeDocument/2006/relationships/image" Target="media/image49.png"/><Relationship Id="rId58" Type="http://schemas.openxmlformats.org/officeDocument/2006/relationships/image" Target="media/image48.png"/><Relationship Id="rId57" Type="http://schemas.openxmlformats.org/officeDocument/2006/relationships/image" Target="media/image47.png"/><Relationship Id="rId56" Type="http://schemas.openxmlformats.org/officeDocument/2006/relationships/image" Target="media/image46.png"/><Relationship Id="rId55" Type="http://schemas.openxmlformats.org/officeDocument/2006/relationships/image" Target="media/image45.pn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header" Target="header1.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endnotes" Target="endnotes.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6" Type="http://schemas.openxmlformats.org/officeDocument/2006/relationships/glossaryDocument" Target="glossary/document.xml"/><Relationship Id="rId265" Type="http://schemas.openxmlformats.org/officeDocument/2006/relationships/fontTable" Target="fontTable.xml"/><Relationship Id="rId264" Type="http://schemas.openxmlformats.org/officeDocument/2006/relationships/customXml" Target="../customXml/item2.xml"/><Relationship Id="rId263" Type="http://schemas.openxmlformats.org/officeDocument/2006/relationships/customXml" Target="../customXml/item1.xml"/><Relationship Id="rId262" Type="http://schemas.openxmlformats.org/officeDocument/2006/relationships/numbering" Target="numbering.xml"/><Relationship Id="rId261" Type="http://schemas.openxmlformats.org/officeDocument/2006/relationships/image" Target="media/image251.png"/><Relationship Id="rId260" Type="http://schemas.openxmlformats.org/officeDocument/2006/relationships/image" Target="media/image250.png"/><Relationship Id="rId26" Type="http://schemas.openxmlformats.org/officeDocument/2006/relationships/image" Target="media/image16.png"/><Relationship Id="rId259" Type="http://schemas.openxmlformats.org/officeDocument/2006/relationships/image" Target="media/image249.png"/><Relationship Id="rId258" Type="http://schemas.openxmlformats.org/officeDocument/2006/relationships/image" Target="media/image248.png"/><Relationship Id="rId257" Type="http://schemas.openxmlformats.org/officeDocument/2006/relationships/image" Target="media/image247.png"/><Relationship Id="rId256" Type="http://schemas.openxmlformats.org/officeDocument/2006/relationships/image" Target="media/image246.png"/><Relationship Id="rId255" Type="http://schemas.openxmlformats.org/officeDocument/2006/relationships/image" Target="media/image245.png"/><Relationship Id="rId254" Type="http://schemas.openxmlformats.org/officeDocument/2006/relationships/image" Target="media/image244.jpeg"/><Relationship Id="rId253" Type="http://schemas.openxmlformats.org/officeDocument/2006/relationships/image" Target="media/image243.jpeg"/><Relationship Id="rId252" Type="http://schemas.openxmlformats.org/officeDocument/2006/relationships/image" Target="media/image242.png"/><Relationship Id="rId251" Type="http://schemas.openxmlformats.org/officeDocument/2006/relationships/image" Target="media/image241.png"/><Relationship Id="rId250" Type="http://schemas.openxmlformats.org/officeDocument/2006/relationships/image" Target="media/image240.png"/><Relationship Id="rId25" Type="http://schemas.openxmlformats.org/officeDocument/2006/relationships/image" Target="media/image15.png"/><Relationship Id="rId249" Type="http://schemas.openxmlformats.org/officeDocument/2006/relationships/image" Target="media/image239.png"/><Relationship Id="rId248" Type="http://schemas.openxmlformats.org/officeDocument/2006/relationships/image" Target="media/image238.png"/><Relationship Id="rId247" Type="http://schemas.openxmlformats.org/officeDocument/2006/relationships/image" Target="media/image237.png"/><Relationship Id="rId246" Type="http://schemas.openxmlformats.org/officeDocument/2006/relationships/image" Target="media/image236.png"/><Relationship Id="rId245" Type="http://schemas.openxmlformats.org/officeDocument/2006/relationships/image" Target="media/image235.png"/><Relationship Id="rId244" Type="http://schemas.openxmlformats.org/officeDocument/2006/relationships/image" Target="media/image234.png"/><Relationship Id="rId243" Type="http://schemas.openxmlformats.org/officeDocument/2006/relationships/image" Target="media/image233.png"/><Relationship Id="rId242" Type="http://schemas.openxmlformats.org/officeDocument/2006/relationships/image" Target="media/image232.png"/><Relationship Id="rId241" Type="http://schemas.openxmlformats.org/officeDocument/2006/relationships/image" Target="media/image231.png"/><Relationship Id="rId240" Type="http://schemas.openxmlformats.org/officeDocument/2006/relationships/image" Target="media/image230.png"/><Relationship Id="rId24" Type="http://schemas.openxmlformats.org/officeDocument/2006/relationships/image" Target="media/image14.png"/><Relationship Id="rId239" Type="http://schemas.openxmlformats.org/officeDocument/2006/relationships/image" Target="media/image229.png"/><Relationship Id="rId238" Type="http://schemas.openxmlformats.org/officeDocument/2006/relationships/image" Target="media/image228.png"/><Relationship Id="rId237" Type="http://schemas.openxmlformats.org/officeDocument/2006/relationships/image" Target="media/image227.png"/><Relationship Id="rId236" Type="http://schemas.openxmlformats.org/officeDocument/2006/relationships/image" Target="media/image226.png"/><Relationship Id="rId235" Type="http://schemas.openxmlformats.org/officeDocument/2006/relationships/image" Target="media/image225.png"/><Relationship Id="rId234" Type="http://schemas.openxmlformats.org/officeDocument/2006/relationships/image" Target="media/image224.png"/><Relationship Id="rId233" Type="http://schemas.openxmlformats.org/officeDocument/2006/relationships/image" Target="media/image223.png"/><Relationship Id="rId232" Type="http://schemas.openxmlformats.org/officeDocument/2006/relationships/image" Target="media/image222.png"/><Relationship Id="rId231" Type="http://schemas.openxmlformats.org/officeDocument/2006/relationships/image" Target="media/image221.png"/><Relationship Id="rId230" Type="http://schemas.openxmlformats.org/officeDocument/2006/relationships/image" Target="media/image220.png"/><Relationship Id="rId23" Type="http://schemas.openxmlformats.org/officeDocument/2006/relationships/image" Target="media/image13.png"/><Relationship Id="rId229" Type="http://schemas.openxmlformats.org/officeDocument/2006/relationships/image" Target="media/image219.png"/><Relationship Id="rId228" Type="http://schemas.openxmlformats.org/officeDocument/2006/relationships/image" Target="media/image218.png"/><Relationship Id="rId227" Type="http://schemas.openxmlformats.org/officeDocument/2006/relationships/image" Target="media/image217.png"/><Relationship Id="rId226" Type="http://schemas.openxmlformats.org/officeDocument/2006/relationships/image" Target="media/image216.png"/><Relationship Id="rId225" Type="http://schemas.openxmlformats.org/officeDocument/2006/relationships/image" Target="media/image215.png"/><Relationship Id="rId224" Type="http://schemas.openxmlformats.org/officeDocument/2006/relationships/image" Target="media/image214.png"/><Relationship Id="rId223" Type="http://schemas.openxmlformats.org/officeDocument/2006/relationships/image" Target="media/image213.png"/><Relationship Id="rId222" Type="http://schemas.openxmlformats.org/officeDocument/2006/relationships/image" Target="media/image212.png"/><Relationship Id="rId221" Type="http://schemas.openxmlformats.org/officeDocument/2006/relationships/image" Target="media/image211.png"/><Relationship Id="rId220" Type="http://schemas.openxmlformats.org/officeDocument/2006/relationships/image" Target="media/image210.png"/><Relationship Id="rId22" Type="http://schemas.openxmlformats.org/officeDocument/2006/relationships/image" Target="media/image12.png"/><Relationship Id="rId219" Type="http://schemas.openxmlformats.org/officeDocument/2006/relationships/image" Target="media/image209.png"/><Relationship Id="rId218" Type="http://schemas.openxmlformats.org/officeDocument/2006/relationships/image" Target="media/image208.png"/><Relationship Id="rId217" Type="http://schemas.openxmlformats.org/officeDocument/2006/relationships/image" Target="media/image207.png"/><Relationship Id="rId216" Type="http://schemas.openxmlformats.org/officeDocument/2006/relationships/image" Target="media/image206.png"/><Relationship Id="rId215" Type="http://schemas.openxmlformats.org/officeDocument/2006/relationships/image" Target="media/image205.png"/><Relationship Id="rId214" Type="http://schemas.openxmlformats.org/officeDocument/2006/relationships/image" Target="media/image204.png"/><Relationship Id="rId213" Type="http://schemas.openxmlformats.org/officeDocument/2006/relationships/image" Target="media/image203.png"/><Relationship Id="rId212" Type="http://schemas.openxmlformats.org/officeDocument/2006/relationships/image" Target="media/image202.png"/><Relationship Id="rId211" Type="http://schemas.openxmlformats.org/officeDocument/2006/relationships/image" Target="media/image201.png"/><Relationship Id="rId210" Type="http://schemas.openxmlformats.org/officeDocument/2006/relationships/image" Target="media/image200.png"/><Relationship Id="rId21" Type="http://schemas.openxmlformats.org/officeDocument/2006/relationships/image" Target="media/image11.png"/><Relationship Id="rId209" Type="http://schemas.openxmlformats.org/officeDocument/2006/relationships/image" Target="media/image199.png"/><Relationship Id="rId208" Type="http://schemas.openxmlformats.org/officeDocument/2006/relationships/image" Target="media/image198.png"/><Relationship Id="rId207" Type="http://schemas.openxmlformats.org/officeDocument/2006/relationships/image" Target="media/image197.png"/><Relationship Id="rId206" Type="http://schemas.openxmlformats.org/officeDocument/2006/relationships/image" Target="media/image196.png"/><Relationship Id="rId205" Type="http://schemas.openxmlformats.org/officeDocument/2006/relationships/image" Target="media/image195.png"/><Relationship Id="rId204" Type="http://schemas.openxmlformats.org/officeDocument/2006/relationships/image" Target="media/image194.png"/><Relationship Id="rId203" Type="http://schemas.openxmlformats.org/officeDocument/2006/relationships/image" Target="media/image193.png"/><Relationship Id="rId202" Type="http://schemas.openxmlformats.org/officeDocument/2006/relationships/image" Target="media/image192.png"/><Relationship Id="rId201" Type="http://schemas.openxmlformats.org/officeDocument/2006/relationships/image" Target="media/image191.png"/><Relationship Id="rId200" Type="http://schemas.openxmlformats.org/officeDocument/2006/relationships/image" Target="media/image190.png"/><Relationship Id="rId20" Type="http://schemas.openxmlformats.org/officeDocument/2006/relationships/image" Target="media/image10.png"/><Relationship Id="rId2" Type="http://schemas.openxmlformats.org/officeDocument/2006/relationships/settings" Target="settings.xml"/><Relationship Id="rId199" Type="http://schemas.openxmlformats.org/officeDocument/2006/relationships/image" Target="media/image189.png"/><Relationship Id="rId198" Type="http://schemas.openxmlformats.org/officeDocument/2006/relationships/image" Target="media/image188.png"/><Relationship Id="rId197" Type="http://schemas.openxmlformats.org/officeDocument/2006/relationships/image" Target="media/image187.png"/><Relationship Id="rId196" Type="http://schemas.openxmlformats.org/officeDocument/2006/relationships/image" Target="media/image186.png"/><Relationship Id="rId195" Type="http://schemas.openxmlformats.org/officeDocument/2006/relationships/image" Target="media/image185.png"/><Relationship Id="rId194" Type="http://schemas.openxmlformats.org/officeDocument/2006/relationships/image" Target="media/image184.png"/><Relationship Id="rId193" Type="http://schemas.openxmlformats.org/officeDocument/2006/relationships/image" Target="media/image183.png"/><Relationship Id="rId192" Type="http://schemas.openxmlformats.org/officeDocument/2006/relationships/image" Target="media/image182.png"/><Relationship Id="rId191" Type="http://schemas.openxmlformats.org/officeDocument/2006/relationships/image" Target="media/image181.png"/><Relationship Id="rId190" Type="http://schemas.openxmlformats.org/officeDocument/2006/relationships/image" Target="media/image180.png"/><Relationship Id="rId19" Type="http://schemas.openxmlformats.org/officeDocument/2006/relationships/image" Target="media/image9.png"/><Relationship Id="rId189" Type="http://schemas.openxmlformats.org/officeDocument/2006/relationships/image" Target="media/image179.png"/><Relationship Id="rId188" Type="http://schemas.openxmlformats.org/officeDocument/2006/relationships/image" Target="media/image178.png"/><Relationship Id="rId187" Type="http://schemas.openxmlformats.org/officeDocument/2006/relationships/image" Target="media/image177.png"/><Relationship Id="rId186" Type="http://schemas.openxmlformats.org/officeDocument/2006/relationships/image" Target="media/image176.png"/><Relationship Id="rId185" Type="http://schemas.openxmlformats.org/officeDocument/2006/relationships/image" Target="media/image175.png"/><Relationship Id="rId184" Type="http://schemas.openxmlformats.org/officeDocument/2006/relationships/image" Target="media/image174.png"/><Relationship Id="rId183" Type="http://schemas.openxmlformats.org/officeDocument/2006/relationships/image" Target="media/image173.png"/><Relationship Id="rId182" Type="http://schemas.openxmlformats.org/officeDocument/2006/relationships/image" Target="media/image172.png"/><Relationship Id="rId181" Type="http://schemas.openxmlformats.org/officeDocument/2006/relationships/image" Target="media/image171.png"/><Relationship Id="rId180" Type="http://schemas.openxmlformats.org/officeDocument/2006/relationships/image" Target="media/image170.png"/><Relationship Id="rId18" Type="http://schemas.openxmlformats.org/officeDocument/2006/relationships/image" Target="media/image8.png"/><Relationship Id="rId179" Type="http://schemas.openxmlformats.org/officeDocument/2006/relationships/image" Target="media/image169.png"/><Relationship Id="rId178" Type="http://schemas.openxmlformats.org/officeDocument/2006/relationships/image" Target="media/image168.png"/><Relationship Id="rId177" Type="http://schemas.openxmlformats.org/officeDocument/2006/relationships/image" Target="media/image167.png"/><Relationship Id="rId176" Type="http://schemas.openxmlformats.org/officeDocument/2006/relationships/image" Target="media/image166.png"/><Relationship Id="rId175" Type="http://schemas.openxmlformats.org/officeDocument/2006/relationships/image" Target="media/image165.png"/><Relationship Id="rId174" Type="http://schemas.openxmlformats.org/officeDocument/2006/relationships/image" Target="media/image164.png"/><Relationship Id="rId173" Type="http://schemas.openxmlformats.org/officeDocument/2006/relationships/image" Target="media/image163.png"/><Relationship Id="rId172" Type="http://schemas.openxmlformats.org/officeDocument/2006/relationships/image" Target="media/image162.png"/><Relationship Id="rId171" Type="http://schemas.openxmlformats.org/officeDocument/2006/relationships/image" Target="media/image161.png"/><Relationship Id="rId170" Type="http://schemas.openxmlformats.org/officeDocument/2006/relationships/image" Target="media/image160.png"/><Relationship Id="rId17" Type="http://schemas.openxmlformats.org/officeDocument/2006/relationships/image" Target="media/image7.png"/><Relationship Id="rId169" Type="http://schemas.openxmlformats.org/officeDocument/2006/relationships/image" Target="media/image159.png"/><Relationship Id="rId168" Type="http://schemas.openxmlformats.org/officeDocument/2006/relationships/image" Target="media/image158.png"/><Relationship Id="rId167" Type="http://schemas.openxmlformats.org/officeDocument/2006/relationships/image" Target="media/image157.png"/><Relationship Id="rId166" Type="http://schemas.openxmlformats.org/officeDocument/2006/relationships/image" Target="media/image156.png"/><Relationship Id="rId165" Type="http://schemas.openxmlformats.org/officeDocument/2006/relationships/image" Target="media/image155.png"/><Relationship Id="rId164" Type="http://schemas.openxmlformats.org/officeDocument/2006/relationships/image" Target="media/image154.png"/><Relationship Id="rId163" Type="http://schemas.openxmlformats.org/officeDocument/2006/relationships/image" Target="media/image153.png"/><Relationship Id="rId162" Type="http://schemas.openxmlformats.org/officeDocument/2006/relationships/image" Target="media/image152.png"/><Relationship Id="rId161" Type="http://schemas.openxmlformats.org/officeDocument/2006/relationships/image" Target="media/image151.png"/><Relationship Id="rId160" Type="http://schemas.openxmlformats.org/officeDocument/2006/relationships/image" Target="media/image150.png"/><Relationship Id="rId16" Type="http://schemas.openxmlformats.org/officeDocument/2006/relationships/image" Target="media/image6.png"/><Relationship Id="rId159" Type="http://schemas.openxmlformats.org/officeDocument/2006/relationships/image" Target="media/image149.png"/><Relationship Id="rId158" Type="http://schemas.openxmlformats.org/officeDocument/2006/relationships/image" Target="media/image148.png"/><Relationship Id="rId157" Type="http://schemas.openxmlformats.org/officeDocument/2006/relationships/image" Target="media/image147.png"/><Relationship Id="rId156" Type="http://schemas.openxmlformats.org/officeDocument/2006/relationships/image" Target="media/image146.png"/><Relationship Id="rId155" Type="http://schemas.openxmlformats.org/officeDocument/2006/relationships/image" Target="media/image145.png"/><Relationship Id="rId154" Type="http://schemas.openxmlformats.org/officeDocument/2006/relationships/image" Target="media/image144.png"/><Relationship Id="rId153" Type="http://schemas.openxmlformats.org/officeDocument/2006/relationships/image" Target="media/image143.jpeg"/><Relationship Id="rId152" Type="http://schemas.openxmlformats.org/officeDocument/2006/relationships/image" Target="media/image142.jpeg"/><Relationship Id="rId151" Type="http://schemas.openxmlformats.org/officeDocument/2006/relationships/image" Target="media/image141.png"/><Relationship Id="rId150" Type="http://schemas.openxmlformats.org/officeDocument/2006/relationships/image" Target="media/image140.png"/><Relationship Id="rId15" Type="http://schemas.openxmlformats.org/officeDocument/2006/relationships/image" Target="media/image5.png"/><Relationship Id="rId149" Type="http://schemas.openxmlformats.org/officeDocument/2006/relationships/image" Target="media/image139.jpeg"/><Relationship Id="rId148" Type="http://schemas.openxmlformats.org/officeDocument/2006/relationships/image" Target="media/image138.jpeg"/><Relationship Id="rId147" Type="http://schemas.openxmlformats.org/officeDocument/2006/relationships/image" Target="media/image137.png"/><Relationship Id="rId146" Type="http://schemas.openxmlformats.org/officeDocument/2006/relationships/image" Target="media/image136.png"/><Relationship Id="rId145" Type="http://schemas.openxmlformats.org/officeDocument/2006/relationships/image" Target="media/image135.png"/><Relationship Id="rId144" Type="http://schemas.openxmlformats.org/officeDocument/2006/relationships/image" Target="media/image134.png"/><Relationship Id="rId143" Type="http://schemas.openxmlformats.org/officeDocument/2006/relationships/image" Target="media/image133.png"/><Relationship Id="rId142" Type="http://schemas.openxmlformats.org/officeDocument/2006/relationships/image" Target="media/image132.png"/><Relationship Id="rId141" Type="http://schemas.openxmlformats.org/officeDocument/2006/relationships/image" Target="media/image131.png"/><Relationship Id="rId140" Type="http://schemas.openxmlformats.org/officeDocument/2006/relationships/image" Target="media/image130.png"/><Relationship Id="rId14" Type="http://schemas.openxmlformats.org/officeDocument/2006/relationships/image" Target="media/image4.png"/><Relationship Id="rId139" Type="http://schemas.openxmlformats.org/officeDocument/2006/relationships/image" Target="media/image129.png"/><Relationship Id="rId138" Type="http://schemas.openxmlformats.org/officeDocument/2006/relationships/image" Target="media/image128.png"/><Relationship Id="rId137" Type="http://schemas.openxmlformats.org/officeDocument/2006/relationships/image" Target="media/image127.png"/><Relationship Id="rId136" Type="http://schemas.openxmlformats.org/officeDocument/2006/relationships/image" Target="media/image126.png"/><Relationship Id="rId135" Type="http://schemas.openxmlformats.org/officeDocument/2006/relationships/image" Target="media/image125.png"/><Relationship Id="rId134" Type="http://schemas.openxmlformats.org/officeDocument/2006/relationships/image" Target="media/image124.png"/><Relationship Id="rId133" Type="http://schemas.openxmlformats.org/officeDocument/2006/relationships/image" Target="media/image123.png"/><Relationship Id="rId132" Type="http://schemas.openxmlformats.org/officeDocument/2006/relationships/image" Target="media/image122.png"/><Relationship Id="rId131" Type="http://schemas.openxmlformats.org/officeDocument/2006/relationships/image" Target="media/image121.png"/><Relationship Id="rId130" Type="http://schemas.openxmlformats.org/officeDocument/2006/relationships/image" Target="media/image120.png"/><Relationship Id="rId13" Type="http://schemas.openxmlformats.org/officeDocument/2006/relationships/image" Target="media/image3.png"/><Relationship Id="rId129" Type="http://schemas.openxmlformats.org/officeDocument/2006/relationships/image" Target="media/image119.png"/><Relationship Id="rId128" Type="http://schemas.openxmlformats.org/officeDocument/2006/relationships/image" Target="media/image118.png"/><Relationship Id="rId127" Type="http://schemas.openxmlformats.org/officeDocument/2006/relationships/image" Target="media/image117.png"/><Relationship Id="rId126" Type="http://schemas.openxmlformats.org/officeDocument/2006/relationships/image" Target="media/image116.png"/><Relationship Id="rId125" Type="http://schemas.openxmlformats.org/officeDocument/2006/relationships/image" Target="media/image115.png"/><Relationship Id="rId124" Type="http://schemas.openxmlformats.org/officeDocument/2006/relationships/image" Target="media/image114.png"/><Relationship Id="rId123" Type="http://schemas.openxmlformats.org/officeDocument/2006/relationships/image" Target="media/image113.png"/><Relationship Id="rId122" Type="http://schemas.openxmlformats.org/officeDocument/2006/relationships/image" Target="media/image112.png"/><Relationship Id="rId121" Type="http://schemas.openxmlformats.org/officeDocument/2006/relationships/image" Target="media/image111.png"/><Relationship Id="rId120" Type="http://schemas.openxmlformats.org/officeDocument/2006/relationships/image" Target="media/image110.png"/><Relationship Id="rId12" Type="http://schemas.openxmlformats.org/officeDocument/2006/relationships/image" Target="media/image2.png"/><Relationship Id="rId119" Type="http://schemas.openxmlformats.org/officeDocument/2006/relationships/image" Target="media/image109.png"/><Relationship Id="rId118" Type="http://schemas.openxmlformats.org/officeDocument/2006/relationships/image" Target="media/image108.png"/><Relationship Id="rId117" Type="http://schemas.openxmlformats.org/officeDocument/2006/relationships/image" Target="media/image107.png"/><Relationship Id="rId116" Type="http://schemas.openxmlformats.org/officeDocument/2006/relationships/image" Target="media/image106.png"/><Relationship Id="rId115" Type="http://schemas.openxmlformats.org/officeDocument/2006/relationships/image" Target="media/image105.png"/><Relationship Id="rId114" Type="http://schemas.openxmlformats.org/officeDocument/2006/relationships/image" Target="media/image104.png"/><Relationship Id="rId113" Type="http://schemas.openxmlformats.org/officeDocument/2006/relationships/image" Target="media/image103.png"/><Relationship Id="rId112" Type="http://schemas.openxmlformats.org/officeDocument/2006/relationships/image" Target="media/image102.png"/><Relationship Id="rId111" Type="http://schemas.openxmlformats.org/officeDocument/2006/relationships/image" Target="media/image101.png"/><Relationship Id="rId110" Type="http://schemas.openxmlformats.org/officeDocument/2006/relationships/image" Target="media/image100.png"/><Relationship Id="rId11" Type="http://schemas.openxmlformats.org/officeDocument/2006/relationships/image" Target="media/image1.png"/><Relationship Id="rId109" Type="http://schemas.openxmlformats.org/officeDocument/2006/relationships/image" Target="media/image99.png"/><Relationship Id="rId108" Type="http://schemas.openxmlformats.org/officeDocument/2006/relationships/image" Target="media/image98.png"/><Relationship Id="rId107" Type="http://schemas.openxmlformats.org/officeDocument/2006/relationships/image" Target="media/image97.png"/><Relationship Id="rId106" Type="http://schemas.openxmlformats.org/officeDocument/2006/relationships/image" Target="media/image96.png"/><Relationship Id="rId105" Type="http://schemas.openxmlformats.org/officeDocument/2006/relationships/image" Target="media/image95.png"/><Relationship Id="rId104" Type="http://schemas.openxmlformats.org/officeDocument/2006/relationships/image" Target="media/image94.png"/><Relationship Id="rId103" Type="http://schemas.openxmlformats.org/officeDocument/2006/relationships/image" Target="media/image93.png"/><Relationship Id="rId102" Type="http://schemas.openxmlformats.org/officeDocument/2006/relationships/image" Target="media/image92.png"/><Relationship Id="rId101" Type="http://schemas.openxmlformats.org/officeDocument/2006/relationships/image" Target="media/image91.png"/><Relationship Id="rId100" Type="http://schemas.openxmlformats.org/officeDocument/2006/relationships/image" Target="media/image90.png"/><Relationship Id="rId10" Type="http://schemas.openxmlformats.org/officeDocument/2006/relationships/theme" Target="theme/theme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WINNT\Profiles\luba\&#1044;&#1072;&#1085;&#1085;&#1099;&#1077;\Microsoft\&#1064;&#1072;&#1073;&#1083;&#1086;&#1085;&#1099;\&#1056;&#1072;&#1073;&#1086;&#1095;&#1080;&#1081;.dot" TargetMode="Externa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FC3E3AE08C7E4E7C98093E32BAAAE90F"/>
        <w:style w:val=""/>
        <w:category>
          <w:name w:val="Общие"/>
          <w:gallery w:val="placeholder"/>
        </w:category>
        <w:types>
          <w:type w:val="bbPlcHdr"/>
        </w:types>
        <w:behaviors>
          <w:behavior w:val="content"/>
        </w:behaviors>
        <w:description w:val=""/>
        <w:guid w:val="{1EAB84D6-49AE-4B72-A2CD-9D86020EFA92}"/>
      </w:docPartPr>
      <w:docPartBody>
        <w:p w14:paraId="03794889">
          <w:r>
            <w:rPr>
              <w:rStyle w:val="4"/>
            </w:rPr>
            <w:t>[Аннотация]</w:t>
          </w:r>
        </w:p>
      </w:docPartBody>
    </w:docPart>
    <w:docPart>
      <w:docPartPr>
        <w:name w:val="5AD3AD4F1CB8429182FD133838D9C9A1"/>
        <w:style w:val=""/>
        <w:category>
          <w:name w:val="Общие"/>
          <w:gallery w:val="placeholder"/>
        </w:category>
        <w:types>
          <w:type w:val="bbPlcHdr"/>
        </w:types>
        <w:behaviors>
          <w:behavior w:val="content"/>
        </w:behaviors>
        <w:description w:val=""/>
        <w:guid w:val="{479D2DBC-496B-4847-B09E-3F1CD0930BF1}"/>
      </w:docPartPr>
      <w:docPartBody>
        <w:p w14:paraId="0A03B7E9">
          <w:r>
            <w:rPr>
              <w:rStyle w:val="4"/>
            </w:rPr>
            <w:t>[Аннотация]</w:t>
          </w:r>
        </w:p>
      </w:docPartBody>
    </w:docPart>
    <w:docPart>
      <w:docPartPr>
        <w:name w:val="DCEC9EFCDD7D4EAABCAD6C2D273267C9"/>
        <w:style w:val=""/>
        <w:category>
          <w:name w:val="Общие"/>
          <w:gallery w:val="placeholder"/>
        </w:category>
        <w:types>
          <w:type w:val="bbPlcHdr"/>
        </w:types>
        <w:behaviors>
          <w:behavior w:val="content"/>
        </w:behaviors>
        <w:description w:val=""/>
        <w:guid w:val="{82FFFE93-915A-45C3-8106-FB03088EE69F}"/>
      </w:docPartPr>
      <w:docPartBody>
        <w:p w14:paraId="4568742B">
          <w:r>
            <w:rPr>
              <w:rStyle w:val="4"/>
            </w:rPr>
            <w:t>[Название]</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SimHei">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w:panose1 w:val="020F0502020204030204"/>
    <w:charset w:val="CC"/>
    <w:family w:val="swiss"/>
    <w:pitch w:val="default"/>
    <w:sig w:usb0="E4002EFF" w:usb1="C200247B" w:usb2="00000009" w:usb3="00000000" w:csb0="200001FF" w:csb1="00000000"/>
  </w:font>
  <w:font w:name="DengXian">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08"/>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239"/>
    <w:rsid w:val="00014EB4"/>
    <w:rsid w:val="00021F55"/>
    <w:rsid w:val="00062940"/>
    <w:rsid w:val="00063D4F"/>
    <w:rsid w:val="0008187B"/>
    <w:rsid w:val="000A6B1F"/>
    <w:rsid w:val="000B1325"/>
    <w:rsid w:val="000B156A"/>
    <w:rsid w:val="000B74A8"/>
    <w:rsid w:val="000C23DA"/>
    <w:rsid w:val="000C3541"/>
    <w:rsid w:val="000C3E40"/>
    <w:rsid w:val="000C48B0"/>
    <w:rsid w:val="000D025A"/>
    <w:rsid w:val="000E4666"/>
    <w:rsid w:val="00106A67"/>
    <w:rsid w:val="00120BDA"/>
    <w:rsid w:val="00137491"/>
    <w:rsid w:val="00144117"/>
    <w:rsid w:val="001526F3"/>
    <w:rsid w:val="00152A39"/>
    <w:rsid w:val="00157435"/>
    <w:rsid w:val="00161EC2"/>
    <w:rsid w:val="00171EA4"/>
    <w:rsid w:val="00173AEB"/>
    <w:rsid w:val="00176981"/>
    <w:rsid w:val="00177CA7"/>
    <w:rsid w:val="00187564"/>
    <w:rsid w:val="0018794D"/>
    <w:rsid w:val="00193A9E"/>
    <w:rsid w:val="001948CA"/>
    <w:rsid w:val="001A3FD9"/>
    <w:rsid w:val="001A75C4"/>
    <w:rsid w:val="001B2A41"/>
    <w:rsid w:val="001C17C9"/>
    <w:rsid w:val="001C7764"/>
    <w:rsid w:val="001E2AB0"/>
    <w:rsid w:val="001F11FD"/>
    <w:rsid w:val="001F1D0E"/>
    <w:rsid w:val="001F3C63"/>
    <w:rsid w:val="00257730"/>
    <w:rsid w:val="00264240"/>
    <w:rsid w:val="00265EAE"/>
    <w:rsid w:val="0028434D"/>
    <w:rsid w:val="0029179D"/>
    <w:rsid w:val="002935C9"/>
    <w:rsid w:val="00294709"/>
    <w:rsid w:val="002B3BE5"/>
    <w:rsid w:val="002B6914"/>
    <w:rsid w:val="002F0719"/>
    <w:rsid w:val="002F70A5"/>
    <w:rsid w:val="002F7539"/>
    <w:rsid w:val="002F75E0"/>
    <w:rsid w:val="00310C23"/>
    <w:rsid w:val="003167F6"/>
    <w:rsid w:val="0032317F"/>
    <w:rsid w:val="00327277"/>
    <w:rsid w:val="00327A9C"/>
    <w:rsid w:val="003542BB"/>
    <w:rsid w:val="00356F5C"/>
    <w:rsid w:val="0036665F"/>
    <w:rsid w:val="003864E8"/>
    <w:rsid w:val="003B56D8"/>
    <w:rsid w:val="003E102D"/>
    <w:rsid w:val="003F1A83"/>
    <w:rsid w:val="003F51D7"/>
    <w:rsid w:val="003F7287"/>
    <w:rsid w:val="00423165"/>
    <w:rsid w:val="00434266"/>
    <w:rsid w:val="00441916"/>
    <w:rsid w:val="004502E3"/>
    <w:rsid w:val="0046083D"/>
    <w:rsid w:val="00472535"/>
    <w:rsid w:val="004A1472"/>
    <w:rsid w:val="004C09E9"/>
    <w:rsid w:val="004C4B7D"/>
    <w:rsid w:val="004D5BDD"/>
    <w:rsid w:val="004D6CE3"/>
    <w:rsid w:val="004F1529"/>
    <w:rsid w:val="004F283C"/>
    <w:rsid w:val="004F5DDC"/>
    <w:rsid w:val="004F68DC"/>
    <w:rsid w:val="0050259D"/>
    <w:rsid w:val="005039E8"/>
    <w:rsid w:val="005042B7"/>
    <w:rsid w:val="00505781"/>
    <w:rsid w:val="00514D0B"/>
    <w:rsid w:val="00516F45"/>
    <w:rsid w:val="0052024C"/>
    <w:rsid w:val="00534F98"/>
    <w:rsid w:val="005354E2"/>
    <w:rsid w:val="00541401"/>
    <w:rsid w:val="005420A4"/>
    <w:rsid w:val="00545566"/>
    <w:rsid w:val="0054681F"/>
    <w:rsid w:val="00561438"/>
    <w:rsid w:val="00566AC5"/>
    <w:rsid w:val="00570B02"/>
    <w:rsid w:val="00572AC3"/>
    <w:rsid w:val="00580A80"/>
    <w:rsid w:val="005A3647"/>
    <w:rsid w:val="005B0A91"/>
    <w:rsid w:val="005C2DE4"/>
    <w:rsid w:val="005D6D77"/>
    <w:rsid w:val="005E1A70"/>
    <w:rsid w:val="005E48EF"/>
    <w:rsid w:val="005E79FB"/>
    <w:rsid w:val="005E7B10"/>
    <w:rsid w:val="005F2252"/>
    <w:rsid w:val="005F61BB"/>
    <w:rsid w:val="0061394A"/>
    <w:rsid w:val="00617669"/>
    <w:rsid w:val="00621D71"/>
    <w:rsid w:val="00625DC0"/>
    <w:rsid w:val="00637843"/>
    <w:rsid w:val="00640E6F"/>
    <w:rsid w:val="00641830"/>
    <w:rsid w:val="006477D1"/>
    <w:rsid w:val="00654499"/>
    <w:rsid w:val="00663096"/>
    <w:rsid w:val="00681153"/>
    <w:rsid w:val="006944C3"/>
    <w:rsid w:val="006A6239"/>
    <w:rsid w:val="006B6AEE"/>
    <w:rsid w:val="006C4FF2"/>
    <w:rsid w:val="006D1F3D"/>
    <w:rsid w:val="006E6B70"/>
    <w:rsid w:val="006F3256"/>
    <w:rsid w:val="006F4598"/>
    <w:rsid w:val="007020D4"/>
    <w:rsid w:val="00702648"/>
    <w:rsid w:val="00706939"/>
    <w:rsid w:val="0071604E"/>
    <w:rsid w:val="00724AC5"/>
    <w:rsid w:val="00725FBA"/>
    <w:rsid w:val="007542BA"/>
    <w:rsid w:val="007744C6"/>
    <w:rsid w:val="007805E4"/>
    <w:rsid w:val="00786699"/>
    <w:rsid w:val="007A4E9F"/>
    <w:rsid w:val="007C349A"/>
    <w:rsid w:val="007C61CD"/>
    <w:rsid w:val="007F2799"/>
    <w:rsid w:val="00801DF0"/>
    <w:rsid w:val="00811EAB"/>
    <w:rsid w:val="008121B6"/>
    <w:rsid w:val="008167B3"/>
    <w:rsid w:val="00827567"/>
    <w:rsid w:val="008375BA"/>
    <w:rsid w:val="008426EA"/>
    <w:rsid w:val="008467D1"/>
    <w:rsid w:val="00846CA2"/>
    <w:rsid w:val="00887E91"/>
    <w:rsid w:val="008A5CDB"/>
    <w:rsid w:val="008A7785"/>
    <w:rsid w:val="008B69EB"/>
    <w:rsid w:val="008C60C0"/>
    <w:rsid w:val="008E1ADE"/>
    <w:rsid w:val="008E417A"/>
    <w:rsid w:val="008F55C1"/>
    <w:rsid w:val="009134DF"/>
    <w:rsid w:val="00933696"/>
    <w:rsid w:val="009354F2"/>
    <w:rsid w:val="00951A38"/>
    <w:rsid w:val="00967D45"/>
    <w:rsid w:val="00984556"/>
    <w:rsid w:val="00987D4A"/>
    <w:rsid w:val="0099299D"/>
    <w:rsid w:val="00993DC3"/>
    <w:rsid w:val="009948F0"/>
    <w:rsid w:val="009A30EE"/>
    <w:rsid w:val="009A46F3"/>
    <w:rsid w:val="009E510E"/>
    <w:rsid w:val="009F06D2"/>
    <w:rsid w:val="00A1031E"/>
    <w:rsid w:val="00A11759"/>
    <w:rsid w:val="00A31E87"/>
    <w:rsid w:val="00A40F2B"/>
    <w:rsid w:val="00A43E32"/>
    <w:rsid w:val="00A61AE5"/>
    <w:rsid w:val="00A630D8"/>
    <w:rsid w:val="00A644B4"/>
    <w:rsid w:val="00A67DCB"/>
    <w:rsid w:val="00AA21CC"/>
    <w:rsid w:val="00AB1C02"/>
    <w:rsid w:val="00AC6126"/>
    <w:rsid w:val="00AE1E67"/>
    <w:rsid w:val="00AE3FD7"/>
    <w:rsid w:val="00B01106"/>
    <w:rsid w:val="00B1794E"/>
    <w:rsid w:val="00B22D49"/>
    <w:rsid w:val="00B22ED5"/>
    <w:rsid w:val="00B22F1C"/>
    <w:rsid w:val="00B324A1"/>
    <w:rsid w:val="00B44F31"/>
    <w:rsid w:val="00B57D8D"/>
    <w:rsid w:val="00B62723"/>
    <w:rsid w:val="00B735DC"/>
    <w:rsid w:val="00B7732F"/>
    <w:rsid w:val="00B821C7"/>
    <w:rsid w:val="00BA315C"/>
    <w:rsid w:val="00BC3096"/>
    <w:rsid w:val="00BF6BB4"/>
    <w:rsid w:val="00C24276"/>
    <w:rsid w:val="00C27904"/>
    <w:rsid w:val="00C56B24"/>
    <w:rsid w:val="00C57569"/>
    <w:rsid w:val="00C66422"/>
    <w:rsid w:val="00C87F30"/>
    <w:rsid w:val="00C9313E"/>
    <w:rsid w:val="00CA0ECB"/>
    <w:rsid w:val="00CB3DBF"/>
    <w:rsid w:val="00CD0F20"/>
    <w:rsid w:val="00CD27CF"/>
    <w:rsid w:val="00CF062F"/>
    <w:rsid w:val="00D065B7"/>
    <w:rsid w:val="00D3007F"/>
    <w:rsid w:val="00D3269C"/>
    <w:rsid w:val="00D474EA"/>
    <w:rsid w:val="00D6193E"/>
    <w:rsid w:val="00D74BAB"/>
    <w:rsid w:val="00D75C6A"/>
    <w:rsid w:val="00D77ACA"/>
    <w:rsid w:val="00D8728B"/>
    <w:rsid w:val="00D95BEE"/>
    <w:rsid w:val="00DB67F1"/>
    <w:rsid w:val="00DC2161"/>
    <w:rsid w:val="00DF5628"/>
    <w:rsid w:val="00DF6C0E"/>
    <w:rsid w:val="00E0193B"/>
    <w:rsid w:val="00E03E34"/>
    <w:rsid w:val="00E10567"/>
    <w:rsid w:val="00E2019A"/>
    <w:rsid w:val="00E4164D"/>
    <w:rsid w:val="00E633CD"/>
    <w:rsid w:val="00E63C36"/>
    <w:rsid w:val="00E646C4"/>
    <w:rsid w:val="00E65BCF"/>
    <w:rsid w:val="00E702CC"/>
    <w:rsid w:val="00E7070D"/>
    <w:rsid w:val="00E745B1"/>
    <w:rsid w:val="00E8194F"/>
    <w:rsid w:val="00E81C45"/>
    <w:rsid w:val="00E83EBB"/>
    <w:rsid w:val="00EA4CA8"/>
    <w:rsid w:val="00EA713D"/>
    <w:rsid w:val="00EB38F4"/>
    <w:rsid w:val="00ED3AD9"/>
    <w:rsid w:val="00ED5E03"/>
    <w:rsid w:val="00ED6C70"/>
    <w:rsid w:val="00EE70C9"/>
    <w:rsid w:val="00EF1F42"/>
    <w:rsid w:val="00EF76E9"/>
    <w:rsid w:val="00F01E51"/>
    <w:rsid w:val="00F02239"/>
    <w:rsid w:val="00F029E5"/>
    <w:rsid w:val="00F23C4B"/>
    <w:rsid w:val="00F24C60"/>
    <w:rsid w:val="00F41B44"/>
    <w:rsid w:val="00F560C0"/>
    <w:rsid w:val="00F64348"/>
    <w:rsid w:val="00F64682"/>
    <w:rsid w:val="00F70CA5"/>
    <w:rsid w:val="00F86898"/>
    <w:rsid w:val="00F94B00"/>
    <w:rsid w:val="00FA1697"/>
    <w:rsid w:val="00FA7E35"/>
    <w:rsid w:val="00FE7CBC"/>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semiHidden="0" w:name="Placeholder Text"/>
  </w:latentStyles>
  <w:style w:type="paragraph" w:default="1" w:styleId="1">
    <w:name w:val="Normal"/>
    <w:qFormat/>
    <w:uiPriority w:val="0"/>
    <w:pPr>
      <w:spacing w:after="160" w:line="259" w:lineRule="auto"/>
    </w:pPr>
    <w:rPr>
      <w:rFonts w:asciiTheme="minorHAnsi" w:hAnsiTheme="minorHAnsi" w:eastAsiaTheme="minorEastAsia" w:cstheme="minorBidi"/>
      <w:kern w:val="2"/>
      <w:sz w:val="22"/>
      <w:szCs w:val="22"/>
      <w:lang w:val="ru-RU" w:eastAsia="ru-RU" w:bidi="ar-SA"/>
      <w14:ligatures w14:val="standardContextual"/>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qFormat/>
    <w:uiPriority w:val="99"/>
    <w:rPr>
      <w:color w:val="808080"/>
    </w:rPr>
  </w:style>
</w:styl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overPageProperties xmlns="http://schemas.microsoft.com/office/2006/coverPageProps">
  <PublishDate/>
  <Abstract>версия 4.01</Abstract>
  <CompanyAddress/>
  <CompanyPhone/>
  <CompanyFax/>
  <CompanyEmail/>
</CoverPageProperties>
</file>

<file path=customXml/itemProps1.xml><?xml version="1.0" encoding="utf-8"?>
<ds:datastoreItem xmlns:ds="http://schemas.openxmlformats.org/officeDocument/2006/customXml" ds:itemID="{77D32037-82BD-4EA1-BFEF-3506712595C7}">
  <ds:schemaRefs/>
</ds:datastoreItem>
</file>

<file path=customXml/itemProps2.xml><?xml version="1.0" encoding="utf-8"?>
<ds:datastoreItem xmlns:ds="http://schemas.openxmlformats.org/officeDocument/2006/customXml" ds:itemID="{55AF091B-3C7A-41E3-B477-F2FDAA23CFDA}">
  <ds:schemaRefs/>
</ds:datastoreItem>
</file>

<file path=docProps/app.xml><?xml version="1.0" encoding="utf-8"?>
<Properties xmlns="http://schemas.openxmlformats.org/officeDocument/2006/extended-properties" xmlns:vt="http://schemas.openxmlformats.org/officeDocument/2006/docPropsVTypes">
  <Template>Рабочий.dot</Template>
  <Pages>180</Pages>
  <Words>3737</Words>
  <Characters>25797</Characters>
  <Lines>1650</Lines>
  <Paragraphs>464</Paragraphs>
  <TotalTime>533</TotalTime>
  <ScaleCrop>false</ScaleCrop>
  <LinksUpToDate>false</LinksUpToDate>
  <CharactersWithSpaces>29030</CharactersWithSpaces>
  <Application>WPS Office_12.1.0.25242_F1E327BC-269C-435d-A152-05C5408002CA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2025-08-14T22:25:00Z</dcterms:created>
  <dc:creator>Анжелика Лавренюк</dc:creator>
  <cp:lastModifiedBy>Леонид Селиверс�</cp:lastModifiedBy>
  <cp:lastPrinted>2025-11-25T11:26:00Z</cp:lastPrinted>
  <dcterms:modified xsi:type="dcterms:W3CDTF">2026-04-01T11:04:43Z</dcterms:modified>
  <dc:title>1027700198767.425000.ФПУМП.2026.И3-3-М</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ДокПЗ">
    <vt:lpwstr>ИБС.425730.004.И5</vt:lpwstr>
  </property>
  <property fmtid="{D5CDD505-2E9C-101B-9397-08002B2CF9AE}" pid="3" name="НаимСистемыПолное">
    <vt:lpwstr>Оказание Услуг по внедрению РС ЕРЗЛ и ПУМП</vt:lpwstr>
  </property>
  <property fmtid="{D5CDD505-2E9C-101B-9397-08002B2CF9AE}" pid="4" name="НаимСистемыКраткое">
    <vt:lpwstr>Услуги по внедрению РС ЕРЗЛ и ПУМП</vt:lpwstr>
  </property>
  <property fmtid="{D5CDD505-2E9C-101B-9397-08002B2CF9AE}" pid="5" name="НаименованиеЗаказчика">
    <vt:lpwstr>Московский городской фонд обязательного медицинского страхования</vt:lpwstr>
  </property>
  <property fmtid="{D5CDD505-2E9C-101B-9397-08002B2CF9AE}" pid="6" name="Город">
    <vt:lpwstr>Москва</vt:lpwstr>
  </property>
  <property fmtid="{D5CDD505-2E9C-101B-9397-08002B2CF9AE}" pid="7" name="Год">
    <vt:lpwstr>2016</vt:lpwstr>
  </property>
  <property fmtid="{D5CDD505-2E9C-101B-9397-08002B2CF9AE}" pid="8" name="НаименованиеИсполнителя">
    <vt:lpwstr>Общество с ограниченной ответственностью "ИБС Экспертиза"</vt:lpwstr>
  </property>
  <property fmtid="{D5CDD505-2E9C-101B-9397-08002B2CF9AE}" pid="9" name="НаимДокумента">
    <vt:lpwstr>Программа инструктажа пользователей</vt:lpwstr>
  </property>
  <property fmtid="{D5CDD505-2E9C-101B-9397-08002B2CF9AE}" pid="10" name="ДокПИ">
    <vt:lpwstr>ИБС.425730.004.И5</vt:lpwstr>
  </property>
  <property fmtid="{D5CDD505-2E9C-101B-9397-08002B2CF9AE}" pid="11" name="KSOTemplateDocerSaveRecord">
    <vt:lpwstr>eyJoZGlkIjoiNTQwMGZkOTczZjRmMzMyMjNiZTQxNjFlMzM5ZDQxMWYiLCJ1c2VySWQiOiIzNzI4NTc2OTM3NzMzIn0=</vt:lpwstr>
  </property>
  <property fmtid="{D5CDD505-2E9C-101B-9397-08002B2CF9AE}" pid="12" name="KSOProductBuildVer">
    <vt:lpwstr>1049-12.1.0.25242</vt:lpwstr>
  </property>
  <property fmtid="{D5CDD505-2E9C-101B-9397-08002B2CF9AE}" pid="13" name="ICV">
    <vt:lpwstr>205930D40C194BFE8F1B79F941EC4B85_12</vt:lpwstr>
  </property>
</Properties>
</file>